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5B7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bookmarkStart w:id="0" w:name="_GoBack"/>
      <w:bookmarkEnd w:id="0"/>
      <w:r>
        <w:rPr>
          <w:rFonts w:hint="eastAsia" w:ascii="方正小标宋简体" w:hAnsi="方正小标宋简体" w:eastAsia="方正小标宋简体" w:cs="方正小标宋简体"/>
          <w:color w:val="auto"/>
          <w:sz w:val="44"/>
          <w:szCs w:val="44"/>
          <w:highlight w:val="none"/>
        </w:rPr>
        <w:t>莆田市数字经济促进条例（草案</w:t>
      </w:r>
      <w:r>
        <w:rPr>
          <w:rFonts w:hint="eastAsia" w:ascii="方正小标宋简体" w:hAnsi="方正小标宋简体" w:eastAsia="方正小标宋简体" w:cs="方正小标宋简体"/>
          <w:color w:val="auto"/>
          <w:sz w:val="44"/>
          <w:szCs w:val="44"/>
          <w:highlight w:val="none"/>
          <w:lang w:eastAsia="zh-CN"/>
        </w:rPr>
        <w:t>修改稿</w:t>
      </w:r>
      <w:r>
        <w:rPr>
          <w:rFonts w:hint="eastAsia" w:ascii="方正小标宋简体" w:hAnsi="方正小标宋简体" w:eastAsia="方正小标宋简体" w:cs="方正小标宋简体"/>
          <w:color w:val="auto"/>
          <w:sz w:val="44"/>
          <w:szCs w:val="44"/>
          <w:highlight w:val="none"/>
        </w:rPr>
        <w:t>）</w:t>
      </w:r>
    </w:p>
    <w:p w14:paraId="7AF159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color w:val="auto"/>
          <w:sz w:val="36"/>
          <w:szCs w:val="36"/>
          <w:highlight w:val="none"/>
        </w:rPr>
      </w:pPr>
      <w:r>
        <w:rPr>
          <w:rFonts w:hint="eastAsia" w:ascii="楷体" w:hAnsi="楷体" w:eastAsia="楷体" w:cs="楷体"/>
          <w:color w:val="auto"/>
          <w:sz w:val="36"/>
          <w:szCs w:val="36"/>
          <w:highlight w:val="none"/>
          <w:lang w:eastAsia="zh-CN"/>
        </w:rPr>
        <w:t>（征求意见稿）</w:t>
      </w:r>
    </w:p>
    <w:p w14:paraId="0DC29B5D">
      <w:pPr>
        <w:pStyle w:val="25"/>
        <w:keepNext w:val="0"/>
        <w:keepLines w:val="0"/>
        <w:pageBreakBefore w:val="0"/>
        <w:kinsoku/>
        <w:wordWrap/>
        <w:overflowPunct/>
        <w:topLinePunct w:val="0"/>
        <w:autoSpaceDE/>
        <w:autoSpaceDN/>
        <w:bidi w:val="0"/>
        <w:adjustRightInd/>
        <w:snapToGrid/>
        <w:spacing w:line="560" w:lineRule="exact"/>
        <w:ind w:firstLine="0" w:firstLineChars="0"/>
        <w:jc w:val="left"/>
        <w:textAlignment w:val="auto"/>
        <w:rPr>
          <w:rFonts w:eastAsia="仿宋"/>
        </w:rPr>
      </w:pPr>
    </w:p>
    <w:p w14:paraId="6D131532">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第一条【立法目的】</w:t>
      </w:r>
    </w:p>
    <w:p w14:paraId="4DB9AF46">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为了推进数字产业化和产业数字化，促进数字经济与实体经济深度融合，完善数字经济治理体系，建设数字经济强市，加快发展新质生产力，推动经济高质量发展，根据有关法律、法规，结合本市实际，制定本条例。</w:t>
      </w:r>
    </w:p>
    <w:p w14:paraId="62FC40F4">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第二条【适用范围】</w:t>
      </w:r>
    </w:p>
    <w:p w14:paraId="201908ED">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本市行政区域内促进数字经济发展的相关活动，适用本条例。</w:t>
      </w:r>
    </w:p>
    <w:p w14:paraId="4A24DD07">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本条例所称数字经济</w:t>
      </w:r>
      <w:r>
        <w:rPr>
          <w:rFonts w:hint="eastAsia" w:eastAsia="仿宋"/>
          <w:lang w:eastAsia="zh-CN"/>
        </w:rPr>
        <w:t>，</w:t>
      </w:r>
      <w:r>
        <w:rPr>
          <w:rFonts w:hint="eastAsia" w:eastAsia="仿宋"/>
        </w:rPr>
        <w:t>是以数据资源为关键要素，以现代信息网络为主要载体，以信息通信技术融合应用、全要素数字化转型为重要推动力，促进公平与效率更加统一的新经济形态。</w:t>
      </w:r>
    </w:p>
    <w:p w14:paraId="50F59D4C">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第三条【基本原则】</w:t>
      </w:r>
    </w:p>
    <w:p w14:paraId="351B3928">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数字经济发展应当遵循统筹推进、创新驱动、融合发展、普惠共享、安全有序、包容审慎、协同共治的原则。</w:t>
      </w:r>
    </w:p>
    <w:p w14:paraId="170D5BC0">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第四条【统筹规划】</w:t>
      </w:r>
    </w:p>
    <w:p w14:paraId="0D85A0A7">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应当加强对数字经济发展工作的领导，统筹部署、组织推进数字经济发展工作，制定和实施促进数字经济发展的政策措施，将数字经济发展纳入国民经济和社会发展规划，完善数字经济发展协作协调机制。</w:t>
      </w:r>
    </w:p>
    <w:p w14:paraId="37FCBF58">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第五条【部门职责】</w:t>
      </w:r>
    </w:p>
    <w:p w14:paraId="5F6FA2FE">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w:t>
      </w:r>
      <w:r>
        <w:rPr>
          <w:rFonts w:hint="eastAsia" w:eastAsia="仿宋"/>
          <w:lang w:eastAsia="zh-CN"/>
        </w:rPr>
        <w:t>发展改革</w:t>
      </w:r>
      <w:r>
        <w:rPr>
          <w:rFonts w:hint="eastAsia" w:eastAsia="仿宋"/>
        </w:rPr>
        <w:t>部门负责统筹协调、指导督促全市数字经济发展工作，拟定相关发展计划，提供政策保障，并组织实施本条例。</w:t>
      </w:r>
    </w:p>
    <w:p w14:paraId="73A2429C">
      <w:pPr>
        <w:spacing w:line="580" w:lineRule="exact"/>
        <w:ind w:firstLine="632" w:firstLineChars="200"/>
        <w:jc w:val="left"/>
        <w:rPr>
          <w:rFonts w:ascii="Times New Roman" w:hAnsi="Times New Roman" w:cs="仿宋_GB2312"/>
          <w:sz w:val="32"/>
          <w:szCs w:val="32"/>
        </w:rPr>
      </w:pPr>
      <w:r>
        <w:rPr>
          <w:rFonts w:hint="eastAsia" w:ascii="Times New Roman" w:hAnsi="Times New Roman" w:cs="仿宋_GB2312"/>
          <w:sz w:val="32"/>
          <w:szCs w:val="32"/>
        </w:rPr>
        <w:t>市</w:t>
      </w:r>
      <w:r>
        <w:rPr>
          <w:rFonts w:hint="eastAsia" w:ascii="Times New Roman" w:hAnsi="Times New Roman" w:cs="仿宋_GB2312"/>
          <w:sz w:val="32"/>
          <w:szCs w:val="32"/>
          <w:lang w:eastAsia="zh-CN"/>
        </w:rPr>
        <w:t>工业和信息化</w:t>
      </w:r>
      <w:r>
        <w:rPr>
          <w:rFonts w:hint="eastAsia" w:ascii="Times New Roman" w:hAnsi="Times New Roman" w:cs="仿宋_GB2312"/>
          <w:sz w:val="32"/>
          <w:szCs w:val="32"/>
        </w:rPr>
        <w:t>部门负责制定并实施数字经济产业有关政策措施，推进数字产业化、产业数字化。</w:t>
      </w:r>
    </w:p>
    <w:p w14:paraId="14B71D71">
      <w:pPr>
        <w:spacing w:line="580" w:lineRule="exact"/>
        <w:ind w:firstLine="632" w:firstLineChars="200"/>
        <w:jc w:val="left"/>
        <w:rPr>
          <w:rFonts w:ascii="Times New Roman" w:hAnsi="Times New Roman" w:cs="仿宋_GB2312"/>
          <w:sz w:val="32"/>
          <w:szCs w:val="32"/>
        </w:rPr>
      </w:pPr>
      <w:r>
        <w:rPr>
          <w:rFonts w:hint="eastAsia" w:ascii="Times New Roman" w:hAnsi="Times New Roman" w:cs="仿宋_GB2312"/>
          <w:sz w:val="32"/>
          <w:szCs w:val="32"/>
        </w:rPr>
        <w:t>市</w:t>
      </w:r>
      <w:r>
        <w:rPr>
          <w:rFonts w:hint="eastAsia" w:ascii="Times New Roman" w:hAnsi="Times New Roman" w:cs="仿宋_GB2312"/>
          <w:sz w:val="32"/>
          <w:szCs w:val="32"/>
          <w:lang w:eastAsia="zh-CN"/>
        </w:rPr>
        <w:t>数据管理</w:t>
      </w:r>
      <w:r>
        <w:rPr>
          <w:rFonts w:hint="eastAsia" w:ascii="Times New Roman" w:hAnsi="Times New Roman" w:cs="仿宋_GB2312"/>
          <w:sz w:val="32"/>
          <w:szCs w:val="32"/>
        </w:rPr>
        <w:t>部门负责统筹推进数据要素制度建设和数据资源开发利用，协同推进数字经济发展。</w:t>
      </w:r>
    </w:p>
    <w:p w14:paraId="1A0A5D90">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其他有关部门应当按照职责分工做好各自领域的数字经济发展相关工作。</w:t>
      </w:r>
    </w:p>
    <w:p w14:paraId="496A53AA">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第六条【社会参与】</w:t>
      </w:r>
    </w:p>
    <w:p w14:paraId="7C3DDA4E">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鼓励和引导全社会参与数字经济发展。依照国家有关法律、法规，鼓励和支持各类经营主体采取多种方式，平等参与数字基础设施投资建设、数字产品研发制造和服务、数据资源开发利用等方面工作。</w:t>
      </w:r>
    </w:p>
    <w:p w14:paraId="5DCBBF08">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市、县（区）人民政府及其有关部门应当加强数字经济的宣传教育，营造有利于数字经济发展的氛围，增强全社会对数字经济的认知与应用能力，完善全民数字素养培训体系。</w:t>
      </w:r>
    </w:p>
    <w:p w14:paraId="38354529">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第七条【数字基础设施】</w:t>
      </w:r>
    </w:p>
    <w:p w14:paraId="509278D6">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其有关部门应当适度超前部署数字基础设施，推动数据基础设施、信息网络基础设施、算力基础设施、应用基础设施等方面建设，推进传统基础设施数智化改造，并将数字基础设施建设纳入国土空间规划，编制市政、交通、电力、公共安全等相关基础设施专项规划应当考虑数字基础设施建设的需要。</w:t>
      </w:r>
    </w:p>
    <w:p w14:paraId="308C717D">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b/>
          <w:bCs/>
        </w:rPr>
        <w:t>第</w:t>
      </w:r>
      <w:r>
        <w:rPr>
          <w:rFonts w:hint="eastAsia" w:eastAsia="仿宋"/>
          <w:b/>
          <w:bCs/>
          <w:lang w:eastAsia="zh-CN"/>
        </w:rPr>
        <w:t>八</w:t>
      </w:r>
      <w:r>
        <w:rPr>
          <w:rFonts w:hint="eastAsia" w:eastAsia="仿宋"/>
          <w:b/>
          <w:bCs/>
        </w:rPr>
        <w:t>条 【数据资源体系建设】</w:t>
      </w:r>
    </w:p>
    <w:p w14:paraId="7FA34D86">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负责全市公共数据资源登记工作，应当通过市公共数据汇聚共享平台汇聚、存储、管理全市公共数据资源，依托省公共数据资源统一开放平台提供公共数据开放服务，加快构建全市一体化公共数据体系，提升公共数据共享效率。</w:t>
      </w:r>
    </w:p>
    <w:p w14:paraId="5EEFBAD3">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应当建立健全数据要素流通交易标准体系，支持工艺美术、鞋服、生命健康、食品等莆田特色产业数据资源的权属登记、价值评估与流通交易试点建设，促进数据合法合规高效流通使用，引导和规范数据交易场所健康发展，探索建立安全可控的跨境数据流动机制。</w:t>
      </w:r>
    </w:p>
    <w:p w14:paraId="428F0D1D">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w:t>
      </w:r>
      <w:r>
        <w:rPr>
          <w:rFonts w:hint="eastAsia" w:eastAsia="仿宋"/>
          <w:b/>
          <w:bCs/>
          <w:lang w:eastAsia="zh-CN"/>
        </w:rPr>
        <w:t>九</w:t>
      </w:r>
      <w:r>
        <w:rPr>
          <w:rFonts w:hint="eastAsia" w:eastAsia="仿宋"/>
          <w:b/>
          <w:bCs/>
        </w:rPr>
        <w:t>条 【公共数据资源授权运营】</w:t>
      </w:r>
    </w:p>
    <w:p w14:paraId="2DE486DC">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市数据管理部门应当</w:t>
      </w:r>
      <w:r>
        <w:rPr>
          <w:rFonts w:hint="eastAsia" w:eastAsia="仿宋"/>
          <w:color w:val="333333"/>
          <w:shd w:val="clear" w:color="auto" w:fill="FFFFFF"/>
        </w:rPr>
        <w:t>牵头组织编制或指导本地区、本部门各类实施机构编制公共数据资源授权运营实施方案，授权</w:t>
      </w:r>
      <w:r>
        <w:rPr>
          <w:rFonts w:eastAsia="仿宋"/>
          <w:color w:val="333333"/>
          <w:shd w:val="clear" w:color="auto" w:fill="FFFFFF"/>
        </w:rPr>
        <w:t>符合条件的运营机构进行</w:t>
      </w:r>
      <w:r>
        <w:rPr>
          <w:rFonts w:hint="eastAsia" w:eastAsia="仿宋"/>
          <w:color w:val="333333"/>
          <w:shd w:val="clear" w:color="auto" w:fill="FFFFFF"/>
        </w:rPr>
        <w:t>公共数据的</w:t>
      </w:r>
      <w:r>
        <w:rPr>
          <w:rFonts w:eastAsia="仿宋"/>
          <w:color w:val="333333"/>
          <w:shd w:val="clear" w:color="auto" w:fill="FFFFFF"/>
        </w:rPr>
        <w:t>治理、开发</w:t>
      </w:r>
      <w:r>
        <w:rPr>
          <w:rFonts w:hint="eastAsia" w:eastAsia="仿宋"/>
        </w:rPr>
        <w:t>。被授权运营机构应当在授权范围内，依托省、市数据开发平台提供的安全可信环境依法依规向市场提供可开发利用的数据产品和服务。</w:t>
      </w:r>
    </w:p>
    <w:p w14:paraId="3241259D">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其有关部门应当依托省、市公共数据资源开发服务平台，推动公共数据场景开发利用，在政务服务、基层治理、应急指挥、乡村振兴等重点领域开展典型场景示范应用。鼓励企业挖掘特色应用场景，创新数据产品和服务。</w:t>
      </w:r>
    </w:p>
    <w:p w14:paraId="45A01BE8">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w:t>
      </w:r>
      <w:r>
        <w:rPr>
          <w:rFonts w:hint="eastAsia" w:eastAsia="仿宋"/>
          <w:b/>
          <w:bCs/>
          <w:lang w:eastAsia="zh-CN"/>
        </w:rPr>
        <w:t>十</w:t>
      </w:r>
      <w:r>
        <w:rPr>
          <w:rFonts w:hint="eastAsia" w:eastAsia="仿宋"/>
          <w:b/>
          <w:bCs/>
        </w:rPr>
        <w:t>条【市大数据调度指挥平台建设】</w:t>
      </w:r>
    </w:p>
    <w:p w14:paraId="02F73AC6">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人民政府应当围绕市大数据调度指挥平台构建全局互联互通、全量数据汇聚、全域业务协同运行体系，各级各部门新建政务信息系统原则上应当依托市大数据调度指挥平台提供的统一服务进行开发、部署和运行。</w:t>
      </w:r>
    </w:p>
    <w:p w14:paraId="43AB0AF5">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市、县（区）人民政府及其有关部门应当将已建成的、符合接入条件的政务信息系统，按照市数据管理部门规定的时限和要求，全面接入市大数据调度指挥平台。</w:t>
      </w:r>
    </w:p>
    <w:p w14:paraId="59E54E09">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w:t>
      </w:r>
      <w:r>
        <w:rPr>
          <w:rFonts w:hint="eastAsia" w:eastAsia="仿宋"/>
          <w:b/>
          <w:bCs/>
          <w:lang w:eastAsia="zh-CN"/>
        </w:rPr>
        <w:t>十一</w:t>
      </w:r>
      <w:r>
        <w:rPr>
          <w:rFonts w:hint="eastAsia" w:eastAsia="仿宋"/>
          <w:b/>
          <w:bCs/>
        </w:rPr>
        <w:t>条 【数字政务】</w:t>
      </w:r>
    </w:p>
    <w:p w14:paraId="7CA815FA">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应当构建集体智治、协同高效的的数字政府治理体系，推进政务服务“一网通办”、市域治理“一网统管”、政府运行“一网协同”，依托市大数据调度指挥平台，推动政务数据全域共享、业务全域协同、服务全域贯通，深化数字技术与政府履职全面融合。</w:t>
      </w:r>
    </w:p>
    <w:p w14:paraId="32CB6770">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w:t>
      </w:r>
      <w:r>
        <w:rPr>
          <w:rFonts w:hint="eastAsia" w:eastAsia="仿宋"/>
          <w:b/>
          <w:bCs/>
          <w:lang w:eastAsia="zh-CN"/>
        </w:rPr>
        <w:t>二</w:t>
      </w:r>
      <w:r>
        <w:rPr>
          <w:rFonts w:hint="eastAsia" w:eastAsia="仿宋"/>
          <w:b/>
          <w:bCs/>
        </w:rPr>
        <w:t>条 【数字技术创新】</w:t>
      </w:r>
    </w:p>
    <w:p w14:paraId="447D312E">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发展改革、工业和信息化、科技等部门应当推动建设数字经济技术创新体系，加强数字技术基础研究、应用研究和技术成果转化，支持集成电路、新型显示、工业软件等重点领域开展核心技术攻关，引导企业与高等院校、科研机构开展数字经济产学研合作，组建创新联合体。</w:t>
      </w:r>
    </w:p>
    <w:p w14:paraId="22184153">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第十三条 【人工智能发展】</w:t>
      </w:r>
    </w:p>
    <w:p w14:paraId="0B75B085">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hint="eastAsia" w:eastAsia="仿宋"/>
        </w:rPr>
      </w:pPr>
      <w:r>
        <w:rPr>
          <w:rFonts w:hint="eastAsia" w:eastAsia="仿宋"/>
        </w:rPr>
        <w:t>市、县（区）人民政府及发展改革、工业和信息化等部门应当支持人工智能在政务、产业、科研等领域深度应用，深化人工智能数据供给创新，完善人工智能产业培育体系，推动人工智能全场景赋能，系统构建人工智能创新生态。</w:t>
      </w:r>
    </w:p>
    <w:p w14:paraId="25DCB3AD">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第十四条 【数字产业化】</w:t>
      </w:r>
    </w:p>
    <w:p w14:paraId="116D0169">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市、县（区）人民政府及发展改革、工业和信息化、商务、科技等部门应当统筹规划数字产业发展，</w:t>
      </w:r>
      <w:r>
        <w:rPr>
          <w:rFonts w:hint="eastAsia" w:ascii="仿宋_GB2312" w:hAnsi="仿宋_GB2312" w:eastAsia="仿宋"/>
          <w:szCs w:val="32"/>
        </w:rPr>
        <w:t>推进</w:t>
      </w:r>
      <w:r>
        <w:rPr>
          <w:rFonts w:ascii="仿宋_GB2312" w:hAnsi="仿宋_GB2312" w:eastAsia="仿宋"/>
          <w:szCs w:val="32"/>
        </w:rPr>
        <w:t>数字产品制造业</w:t>
      </w:r>
      <w:r>
        <w:rPr>
          <w:rFonts w:hint="eastAsia" w:ascii="仿宋_GB2312" w:hAnsi="仿宋_GB2312" w:eastAsia="仿宋"/>
          <w:szCs w:val="32"/>
        </w:rPr>
        <w:t>、数字产品服务业、</w:t>
      </w:r>
      <w:r>
        <w:rPr>
          <w:rFonts w:ascii="仿宋_GB2312" w:hAnsi="仿宋_GB2312" w:eastAsia="仿宋"/>
          <w:szCs w:val="32"/>
        </w:rPr>
        <w:t>数字技术应用业</w:t>
      </w:r>
      <w:r>
        <w:rPr>
          <w:rFonts w:hint="eastAsia" w:ascii="仿宋_GB2312" w:hAnsi="仿宋_GB2312" w:eastAsia="仿宋"/>
          <w:szCs w:val="32"/>
        </w:rPr>
        <w:t>、数字要素驱动业协同发展，</w:t>
      </w:r>
      <w:r>
        <w:rPr>
          <w:rFonts w:hint="eastAsia" w:eastAsia="仿宋"/>
        </w:rPr>
        <w:t>重点支持北斗卫星、人工智能、云计算、数据等核心产业发展，培育壮大新兴产业，前瞻布局未来产业，推进数字产业园区和创新基地建设，培育特色数字产业集群，提高数字产业核心竞争力。</w:t>
      </w:r>
    </w:p>
    <w:p w14:paraId="06FA0E67">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第十五条 【农业数字化】</w:t>
      </w:r>
    </w:p>
    <w:p w14:paraId="702895E9">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市、县（区）人民政府及农业农村部门应当推进物联网、云计算、大数据、北斗应用、人工智能等数字技术在农业生产、经营、管理、服务等方面的创新应用，推进</w:t>
      </w:r>
      <w:r>
        <w:rPr>
          <w:rFonts w:hint="eastAsia" w:eastAsia="仿宋"/>
          <w:color w:val="333333"/>
          <w:shd w:val="clear" w:color="auto" w:fill="FFFFFF"/>
        </w:rPr>
        <w:t>数字农业和物联网基地建设</w:t>
      </w:r>
      <w:r>
        <w:rPr>
          <w:rFonts w:hint="eastAsia" w:eastAsia="仿宋"/>
        </w:rPr>
        <w:t>，提升农业数智化水平。</w:t>
      </w:r>
    </w:p>
    <w:p w14:paraId="0B0B0201">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第十六条 【工业数字化】</w:t>
      </w:r>
    </w:p>
    <w:p w14:paraId="7E4ECE74">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市、县（区）人民政府及工业和信息化部门应当推进</w:t>
      </w:r>
      <w:r>
        <w:rPr>
          <w:rFonts w:hint="eastAsia" w:eastAsia="仿宋"/>
          <w:color w:val="333333"/>
          <w:shd w:val="clear" w:color="auto" w:fill="FFFFFF"/>
        </w:rPr>
        <w:t>工业数字化转型，推动工业全要素智能联动和智能化发展，</w:t>
      </w:r>
      <w:r>
        <w:rPr>
          <w:rFonts w:hint="eastAsia" w:eastAsia="仿宋"/>
        </w:rPr>
        <w:t>加强工业互联网创新应用，鼓励链主企业牵头建设行业级工业互联网平台，引导中小企业通过低成本、快部署的解决方案接入平台，普及应用工业互联网，引进和培育数字服务商，建设行业共性技术服务平台，推广行业数字化转型解决方案，促进工业企业上下游协同转型。</w:t>
      </w:r>
    </w:p>
    <w:p w14:paraId="17BB1C64">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第十七条 【服务业数字化与数字贸易】</w:t>
      </w:r>
    </w:p>
    <w:p w14:paraId="23130A54">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hint="eastAsia" w:eastAsia="仿宋"/>
        </w:rPr>
      </w:pPr>
      <w:r>
        <w:rPr>
          <w:rFonts w:hint="eastAsia" w:eastAsia="仿宋"/>
        </w:rPr>
        <w:t>市、县（区）人民政府及商务部门应当推动传统商贸企业数智化改造，促进生活性服务业、生产性服务业数字化转型。推进数字贸易高质量发展，探索放宽数字经济新业态准入，建设数字口岸、数字贸易港。</w:t>
      </w:r>
    </w:p>
    <w:p w14:paraId="488DA31F">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深化跨境电商专业园区建设，鼓励境内外数字贸易市场主体在本市设立总部或者区域总部等。支持发展电商新兴业态，培育直播电商孵化载体，推进直播新业态与鞋服、食品、工艺美术、黄金珠宝等优势产业深度融合发展，丰富服务产品供给，促进生活消费方式升级。</w:t>
      </w:r>
    </w:p>
    <w:p w14:paraId="1B12BF07">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第十八条 【数字金融】</w:t>
      </w:r>
    </w:p>
    <w:p w14:paraId="55885893">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金融监管部门按照职责分工推动金融业数字化转型升级，促进数字技术在支付清算、登记托管、信用评级、跨境结算等环节的深度应用，推进数字人民币应用场景和产业生态发展。鼓励运用大数据、区块链、人工智能等技术，完善精准服务中小微企业数字金融体系。</w:t>
      </w:r>
    </w:p>
    <w:p w14:paraId="34F38E18">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第十九条 【数字文旅】</w:t>
      </w:r>
    </w:p>
    <w:p w14:paraId="099773C2">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文旅部门应当推进文旅数字化，丰富数字文化服务供给，发展数字文旅消费，推动妈祖文化、莆阳文化等特色文旅资源数据化，建立城市历史文化项目数据库，推动博物馆、图书馆等文化场馆的数字化改造，鼓励对文化资源进行数字化转化和开发。支持智慧旅游景区建设，鼓励开发数字化旅游产品，提供智慧化旅游服务，培育云旅游等网络体验与消费新模式，促进旅游业线上线下融合发展。</w:t>
      </w:r>
    </w:p>
    <w:p w14:paraId="4B8AAE7B">
      <w:pPr>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sz w:val="32"/>
        </w:rPr>
      </w:pPr>
      <w:r>
        <w:rPr>
          <w:rFonts w:hint="eastAsia" w:eastAsia="仿宋"/>
          <w:b/>
          <w:bCs/>
          <w:sz w:val="32"/>
        </w:rPr>
        <w:t>第二十条 【数字生态】</w:t>
      </w:r>
    </w:p>
    <w:p w14:paraId="0FCE0EDF">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生态环境、水利部门应当推进数字技术在生态环境监管和生态环境保护修复领域的深度应用，构建“空天地海”一体化监测体系，推进数字木兰溪建设，强化大气、水、土壤等自然生态和气候变化等数据资源综合开发利用，构建精准感知、智慧管控的协同治理体系，提升生态环境保护能力。</w:t>
      </w:r>
    </w:p>
    <w:p w14:paraId="0D3AA66C">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第二十一条 【数字海洋】</w:t>
      </w:r>
    </w:p>
    <w:p w14:paraId="459EF90D">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海洋渔业部门应当推动发展智慧海洋产业，支持智能港口建设，推进数字技术与海洋产业深度融合，推动海洋卫星应用基础设施建设，完善海洋信息通信网，建设船舶动态管理系统，实现可视化、信息化管理，保障海上安全生产应急通讯能力。</w:t>
      </w:r>
    </w:p>
    <w:p w14:paraId="1CA69E50">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第二十二条  【</w:t>
      </w:r>
      <w:r>
        <w:rPr>
          <w:rFonts w:hint="eastAsia" w:eastAsia="仿宋"/>
          <w:b/>
          <w:bCs/>
          <w:lang w:eastAsia="zh-CN"/>
        </w:rPr>
        <w:t>智慧社区</w:t>
      </w:r>
      <w:r>
        <w:rPr>
          <w:rFonts w:hint="eastAsia" w:eastAsia="仿宋"/>
          <w:b/>
          <w:bCs/>
        </w:rPr>
        <w:t>】</w:t>
      </w:r>
    </w:p>
    <w:p w14:paraId="50F30AFF">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其有关部门应当按照有关规定因地制宜推进智慧城市建设，加强城市信息模型、数字孪生等新技术运用。推进智慧社区建设，构建智慧社区治理场景，推进社区基础设施数字化，鼓励居委会、居民、服务提供商等共同参与智慧社区的建设与治理。</w:t>
      </w:r>
      <w:r>
        <w:rPr>
          <w:rFonts w:eastAsia="仿宋"/>
        </w:rPr>
        <w:t>推进数字乡村建设，优化乡村数字基础设施布局，实行涉农服务事项线上线下一体化办理，提升乡村治理数智化水平。</w:t>
      </w:r>
    </w:p>
    <w:p w14:paraId="0474D251">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hint="eastAsia" w:eastAsia="仿宋"/>
        </w:rPr>
      </w:pPr>
      <w:r>
        <w:rPr>
          <w:rFonts w:hint="eastAsia" w:eastAsia="仿宋"/>
          <w:b/>
          <w:bCs/>
        </w:rPr>
        <w:t>第二十三条 【数字民生】</w:t>
      </w:r>
    </w:p>
    <w:p w14:paraId="30DE2C49">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Segoe UI" w:hAnsi="Segoe UI" w:eastAsia="仿宋" w:cs="Segoe UI"/>
          <w:color w:val="09090B"/>
          <w:shd w:val="clear" w:color="auto" w:fill="FFFFFF"/>
        </w:rPr>
      </w:pPr>
      <w:r>
        <w:rPr>
          <w:rFonts w:hint="eastAsia" w:eastAsia="仿宋"/>
        </w:rPr>
        <w:t>市、县（区）人民政府及其有关部门应当推进</w:t>
      </w:r>
      <w:r>
        <w:rPr>
          <w:rFonts w:ascii="Segoe UI" w:hAnsi="Segoe UI" w:eastAsia="仿宋" w:cs="Segoe UI"/>
          <w:color w:val="09090B"/>
          <w:shd w:val="clear" w:color="auto" w:fill="FFFFFF"/>
        </w:rPr>
        <w:t>教育</w:t>
      </w:r>
      <w:r>
        <w:rPr>
          <w:rFonts w:hint="eastAsia" w:ascii="Segoe UI" w:hAnsi="Segoe UI" w:eastAsia="仿宋"/>
          <w:color w:val="09090B"/>
          <w:shd w:val="clear" w:color="auto" w:fill="FFFFFF"/>
        </w:rPr>
        <w:t>、医疗、</w:t>
      </w:r>
      <w:r>
        <w:rPr>
          <w:rFonts w:ascii="Segoe UI" w:hAnsi="Segoe UI" w:eastAsia="仿宋" w:cs="Segoe UI"/>
          <w:color w:val="09090B"/>
          <w:shd w:val="clear" w:color="auto" w:fill="FFFFFF"/>
        </w:rPr>
        <w:t>文旅、就业、社保、养老等重点民生领域的数字公共服务供给</w:t>
      </w:r>
      <w:r>
        <w:rPr>
          <w:rFonts w:hint="eastAsia" w:ascii="Segoe UI" w:hAnsi="Segoe UI" w:eastAsia="仿宋" w:cs="Segoe UI"/>
          <w:color w:val="09090B"/>
          <w:shd w:val="clear" w:color="auto" w:fill="FFFFFF"/>
        </w:rPr>
        <w:t>。</w:t>
      </w:r>
    </w:p>
    <w:p w14:paraId="3E8CE404">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Segoe UI" w:hAnsi="Segoe UI" w:eastAsia="仿宋" w:cs="Segoe UI"/>
          <w:color w:val="09090B"/>
          <w:shd w:val="clear" w:color="auto" w:fill="FFFFFF"/>
        </w:rPr>
      </w:pPr>
      <w:r>
        <w:rPr>
          <w:rFonts w:ascii="Segoe UI" w:hAnsi="Segoe UI" w:eastAsia="仿宋" w:cs="Segoe UI"/>
          <w:color w:val="09090B"/>
          <w:shd w:val="clear" w:color="auto" w:fill="FFFFFF"/>
        </w:rPr>
        <w:t>发展智慧教育，推进教育数据和数字教学资源互通共享，支持建设教育资源服务平台，培育推广并规范管理在线教育新业态新模式。</w:t>
      </w:r>
    </w:p>
    <w:p w14:paraId="394A4BB9">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Segoe UI" w:hAnsi="Segoe UI" w:eastAsia="仿宋" w:cs="Segoe UI"/>
          <w:color w:val="09090B"/>
          <w:shd w:val="clear" w:color="auto" w:fill="FFFFFF"/>
        </w:rPr>
      </w:pPr>
      <w:r>
        <w:rPr>
          <w:rFonts w:hint="eastAsia" w:ascii="Segoe UI" w:hAnsi="Segoe UI" w:eastAsia="仿宋" w:cs="Segoe UI"/>
          <w:color w:val="09090B"/>
          <w:shd w:val="clear" w:color="auto" w:fill="FFFFFF"/>
        </w:rPr>
        <w:t>发展智慧医疗</w:t>
      </w:r>
      <w:r>
        <w:rPr>
          <w:rFonts w:ascii="Segoe UI" w:hAnsi="Segoe UI" w:eastAsia="仿宋" w:cs="Segoe UI"/>
          <w:color w:val="09090B"/>
          <w:shd w:val="clear" w:color="auto" w:fill="FFFFFF"/>
        </w:rPr>
        <w:t>，强化医疗健康大数据开发应用，</w:t>
      </w:r>
      <w:r>
        <w:rPr>
          <w:rFonts w:hint="eastAsia" w:ascii="Segoe UI" w:hAnsi="Segoe UI" w:eastAsia="仿宋" w:cs="Segoe UI"/>
          <w:color w:val="09090B"/>
          <w:shd w:val="clear" w:color="auto" w:fill="FFFFFF"/>
        </w:rPr>
        <w:t>推进智能化医学设备、远程医疗、人工智能辅助诊断决策，实现全域医学检查结果互认，完善</w:t>
      </w:r>
      <w:r>
        <w:rPr>
          <w:rFonts w:ascii="Segoe UI" w:hAnsi="Segoe UI" w:eastAsia="仿宋" w:cs="Segoe UI"/>
          <w:color w:val="09090B"/>
          <w:shd w:val="clear" w:color="auto" w:fill="FFFFFF"/>
        </w:rPr>
        <w:t>互联网医疗服务。</w:t>
      </w:r>
    </w:p>
    <w:p w14:paraId="63241E03">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ascii="Segoe UI" w:hAnsi="Segoe UI" w:eastAsia="仿宋" w:cs="Segoe UI"/>
          <w:color w:val="09090B"/>
          <w:shd w:val="clear" w:color="auto" w:fill="FFFFFF"/>
        </w:rPr>
        <w:t>发展智慧养老，</w:t>
      </w:r>
      <w:r>
        <w:rPr>
          <w:rFonts w:ascii="Segoe UI" w:hAnsi="Segoe UI" w:eastAsia="仿宋" w:cs="Segoe UI"/>
          <w:color w:val="09090B"/>
          <w:shd w:val="clear" w:color="auto" w:fill="FFFFFF"/>
        </w:rPr>
        <w:t>推动个人、家庭、社区、机构与健康养老资源有效对接和优化配置，推进移动终端、可穿戴设备、服务机器人等智能设备在居家、社区、机构等养老场景集成应用，推广智慧养老服务平台，提升银发经济数字化水平，提供多层次、多样化健康养老服务。</w:t>
      </w:r>
    </w:p>
    <w:p w14:paraId="19084953">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ascii="仿宋_GB2312" w:hAnsi="仿宋_GB2312" w:eastAsia="仿宋"/>
          <w:szCs w:val="32"/>
        </w:rPr>
        <w:t>推动数字无障碍建设，消除数字鸿沟，保障老年人、残疾人等群体平等、充分、便捷地获取和使用数字化产品与服务</w:t>
      </w:r>
      <w:r>
        <w:rPr>
          <w:rFonts w:hint="eastAsia" w:ascii="仿宋_GB2312" w:hAnsi="仿宋_GB2312" w:eastAsia="仿宋"/>
          <w:szCs w:val="32"/>
        </w:rPr>
        <w:t>。</w:t>
      </w:r>
      <w:r>
        <w:rPr>
          <w:rFonts w:eastAsia="仿宋"/>
        </w:rPr>
        <w:t>鼓励和支持涉及民生的互联网网站、移动互联网应用程序等进行适老化和无障碍改造，符合国家无障碍设计标准和规范</w:t>
      </w:r>
      <w:r>
        <w:rPr>
          <w:rFonts w:hint="eastAsia" w:eastAsia="仿宋"/>
        </w:rPr>
        <w:t>。</w:t>
      </w:r>
    </w:p>
    <w:p w14:paraId="16A79E16">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第二十四条 【企业共享数据激励】</w:t>
      </w:r>
    </w:p>
    <w:p w14:paraId="22F252F1">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应当鼓励支持行业协会牵头建立面向中小企业，以及教育、医疗、交通、能源、环境、金融等重点领域的行业高质量数据集，为企业发展提供精准数据支撑。对在数据供给与应用中表现突出的企业给予一定奖励，激发企业参与数据要素价值释放的积极性。</w:t>
      </w:r>
    </w:p>
    <w:p w14:paraId="11C25FBB">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第二十五条 【支持保障】</w:t>
      </w:r>
    </w:p>
    <w:p w14:paraId="554AFE60">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市、县（区）人民政府应当完善政策服务便利化措施，创新投融资机制，加强线上申报兑现机制建设。</w:t>
      </w:r>
    </w:p>
    <w:p w14:paraId="68435DA5">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市发展改革、财政等部门应当加强对数字经济发展相关政策性资金的统筹整合，重点支持数字基础设施建设、数字产业化、产业数字化、数据资源体系建设等领域。根据我市数字经济产业发展情况，</w:t>
      </w:r>
      <w:r>
        <w:rPr>
          <w:rFonts w:eastAsia="仿宋"/>
        </w:rPr>
        <w:t>建立多元化资金投入和保障机制，发挥政府投资基金引导作用</w:t>
      </w:r>
      <w:r>
        <w:rPr>
          <w:rFonts w:hint="eastAsia" w:eastAsia="仿宋"/>
        </w:rPr>
        <w:t>，鼓励和吸引社会资本参与。</w:t>
      </w:r>
    </w:p>
    <w:p w14:paraId="1F1AD2A5">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金融监管部门应当支持具备条件的数字经济领域企业上市融资，并引导证券、会计、法律等专业服务机构为企业提供指导和服务。鼓励和引导保险机构开发适应数字经济发展特点的新型保险产品，为符合政策的数字经济企业和项目贷款提供保证保险和信用保险。</w:t>
      </w:r>
    </w:p>
    <w:p w14:paraId="5704CE3B">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第二十六条 【人才保障】</w:t>
      </w:r>
    </w:p>
    <w:p w14:paraId="76B76557">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w:t>
      </w:r>
      <w:r>
        <w:rPr>
          <w:rFonts w:eastAsia="仿宋"/>
          <w:color w:val="000000"/>
          <w:shd w:val="clear" w:color="auto" w:fill="FFFFFF"/>
        </w:rPr>
        <w:t>人力资源社会保障</w:t>
      </w:r>
      <w:r>
        <w:rPr>
          <w:rFonts w:hint="eastAsia" w:eastAsia="仿宋"/>
          <w:color w:val="000000"/>
          <w:shd w:val="clear" w:color="auto" w:fill="FFFFFF"/>
        </w:rPr>
        <w:t>、教育</w:t>
      </w:r>
      <w:r>
        <w:rPr>
          <w:rFonts w:eastAsia="仿宋"/>
          <w:color w:val="000000"/>
          <w:shd w:val="clear" w:color="auto" w:fill="FFFFFF"/>
        </w:rPr>
        <w:t>等部门</w:t>
      </w:r>
      <w:r>
        <w:rPr>
          <w:rFonts w:hint="eastAsia" w:eastAsia="仿宋"/>
        </w:rPr>
        <w:t>应当</w:t>
      </w:r>
      <w:r>
        <w:rPr>
          <w:rFonts w:eastAsia="仿宋"/>
        </w:rPr>
        <w:t>应当培育和引进数字经济领域人才，创新人才育、引、留、用机制，按照有关规定在职称评定、住房、落户、医疗等方面提供支持。</w:t>
      </w:r>
    </w:p>
    <w:p w14:paraId="0BFB8130">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color w:val="000000"/>
          <w:shd w:val="clear" w:color="auto" w:fill="FFFFFF"/>
        </w:rPr>
        <w:t>鼓励和</w:t>
      </w:r>
      <w:r>
        <w:rPr>
          <w:rFonts w:hint="eastAsia" w:eastAsia="仿宋"/>
        </w:rPr>
        <w:t>支持企业事业单位、社会组织优化人才培养模式，深化产学研合作，</w:t>
      </w:r>
      <w:r>
        <w:rPr>
          <w:rFonts w:eastAsia="仿宋"/>
        </w:rPr>
        <w:t>加强数字经济领域关键核心技术人才培养</w:t>
      </w:r>
      <w:r>
        <w:rPr>
          <w:rFonts w:hint="eastAsia" w:eastAsia="仿宋"/>
        </w:rPr>
        <w:t>，推进数字技能培训。</w:t>
      </w:r>
    </w:p>
    <w:p w14:paraId="6619A0B6">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第二十七条 【安全保障】</w:t>
      </w:r>
    </w:p>
    <w:p w14:paraId="6C1385D9">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市、县（区）人民政府及网信、公安、数据管理等部门应当健全网络和数据安全保障体系，构建全域网络安全防御体系，强化数据全生命周期安全防护体系，</w:t>
      </w:r>
      <w:r>
        <w:rPr>
          <w:rFonts w:eastAsia="仿宋"/>
        </w:rPr>
        <w:t>完善风险评估、监测预警、应急处置等机制</w:t>
      </w:r>
      <w:r>
        <w:rPr>
          <w:rFonts w:hint="eastAsia" w:eastAsia="仿宋"/>
        </w:rPr>
        <w:t>，推动安全技术应用，构建安全服务体系。鼓励企业设立首席数据官。</w:t>
      </w:r>
    </w:p>
    <w:p w14:paraId="772846B9">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第二十八条 【公共数据归集专项评估】</w:t>
      </w:r>
    </w:p>
    <w:p w14:paraId="7B5949B1">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应当定期对全市公共数据归集、应用及安全保障情况开展专项评估，建立市大数据调度指挥平台效能评估机制，将评估结果向本级人民政府报告，并向社会公布，必要时可以委托第三方机构进行独立评估。</w:t>
      </w:r>
    </w:p>
    <w:p w14:paraId="45D42CAC">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第二十九条 【监督考核与容错机制】</w:t>
      </w:r>
    </w:p>
    <w:p w14:paraId="04CF897A">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市数据管理部门定期对数字经济发展各项措施的执行情况、项目建设进展、资金使用效益等进行监督评估。</w:t>
      </w:r>
    </w:p>
    <w:p w14:paraId="3572B5AB">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hint="eastAsia" w:ascii="仿宋_GB2312" w:hAnsi="仿宋_GB2312" w:eastAsia="仿宋"/>
          <w:sz w:val="32"/>
          <w:szCs w:val="32"/>
        </w:rPr>
        <w:t>本市</w:t>
      </w:r>
      <w:r>
        <w:rPr>
          <w:rFonts w:ascii="仿宋_GB2312" w:hAnsi="仿宋_GB2312" w:eastAsia="仿宋"/>
          <w:sz w:val="32"/>
          <w:szCs w:val="32"/>
        </w:rPr>
        <w:t>鼓励在数字基础设施建设、数据要素市场培育、数字政府与公共服务数智化转型以及</w:t>
      </w:r>
      <w:r>
        <w:rPr>
          <w:rFonts w:hint="eastAsia" w:ascii="仿宋_GB2312" w:hAnsi="仿宋_GB2312" w:eastAsia="仿宋"/>
          <w:sz w:val="32"/>
          <w:szCs w:val="32"/>
        </w:rPr>
        <w:t>数字</w:t>
      </w:r>
      <w:r>
        <w:rPr>
          <w:rFonts w:ascii="仿宋_GB2312" w:hAnsi="仿宋_GB2312" w:eastAsia="仿宋"/>
          <w:sz w:val="32"/>
          <w:szCs w:val="32"/>
        </w:rPr>
        <w:t>技术应用等领域开展探索创新。在推进数字发展改革创新工作中出现失误、偏差或者未能实现预期目标，但同时符合下列条件的，依法对有关单位和个人予以免责或者减轻责任：</w:t>
      </w:r>
    </w:p>
    <w:p w14:paraId="5433428C">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（一）符合国家和本省（市）确定的改革方向与政策导向；</w:t>
      </w:r>
    </w:p>
    <w:p w14:paraId="6E07CF4A">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（二）决策程序符合法律、法规和有关规定；</w:t>
      </w:r>
    </w:p>
    <w:p w14:paraId="4C51A4A3">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（三）未违反法律、法规的强制性规定，未触及安全底线；</w:t>
      </w:r>
    </w:p>
    <w:p w14:paraId="45AC5421">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（四）出于担当尽责、促进数字发展和增进公共利益的目的，且未牟取私利或者与其他组织、个人恶意串通；</w:t>
      </w:r>
    </w:p>
    <w:p w14:paraId="47EF1E4C">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（五）发现失误或者偏差后，能够及时主动采取补救措施，有效挽回损失或者消除不良影响。</w:t>
      </w:r>
    </w:p>
    <w:p w14:paraId="71F6F23D">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ascii="仿宋_GB2312" w:hAnsi="仿宋_GB2312" w:eastAsia="仿宋"/>
          <w:sz w:val="32"/>
          <w:szCs w:val="32"/>
        </w:rPr>
      </w:pPr>
      <w:r>
        <w:rPr>
          <w:rFonts w:ascii="仿宋_GB2312" w:hAnsi="仿宋_GB2312" w:eastAsia="仿宋"/>
          <w:sz w:val="32"/>
          <w:szCs w:val="32"/>
        </w:rPr>
        <w:t>对予以容错免责的单位和个人，在绩效考核、评先评优、职务职级晋升、职称评聘等方面不受影响</w:t>
      </w:r>
      <w:r>
        <w:rPr>
          <w:rFonts w:hint="eastAsia" w:ascii="仿宋_GB2312" w:hAnsi="仿宋_GB2312" w:eastAsia="仿宋"/>
          <w:sz w:val="32"/>
          <w:szCs w:val="32"/>
        </w:rPr>
        <w:t>。</w:t>
      </w:r>
    </w:p>
    <w:p w14:paraId="38515E41">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第三十条 【包容监管】</w:t>
      </w:r>
    </w:p>
    <w:p w14:paraId="199112DE">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市市场监督管理部门应当对数字经济相关领域的新产业、新业态、新模式等创新活动，在法律法规允许的范围内实行包容审慎监管。按照有利于市场主体经营发展的原则，分类制定和实行相应的监管规则和标准，给予一定时限的包容期，不得简单予以禁止或不予监管。</w:t>
      </w:r>
    </w:p>
    <w:p w14:paraId="68B2D241">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第三十一条【术语解释】</w:t>
      </w:r>
    </w:p>
    <w:p w14:paraId="2EF352DF">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公共数据是指公共管理和服务机构在依法履职或者提供公共管理和服务过程中收集、产生的，以一定形式记录、保存的各类数据及其衍生数据，包含政务、公益事业单位数据和公用企业数据。</w:t>
      </w:r>
    </w:p>
    <w:p w14:paraId="5C36E7CF">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rPr>
        <w:t>政务数据，是指政务部门在履行职责过程中采集、获取或者通过特许经营、购买服务等方式开展信息化建设和应用所产生的数据。</w:t>
      </w:r>
    </w:p>
    <w:p w14:paraId="602BBFD8">
      <w:pPr>
        <w:pStyle w:val="25"/>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eastAsia="仿宋"/>
        </w:rPr>
      </w:pPr>
      <w:r>
        <w:rPr>
          <w:rFonts w:hint="eastAsia" w:eastAsia="仿宋"/>
          <w:color w:val="333333"/>
          <w:shd w:val="clear" w:color="auto" w:fill="FFFFFF"/>
        </w:rPr>
        <w:t>授权运营，是指将县级以上地方各级人民政府、国家行业主管部门持有的公共数据资源，按照法律法规和相关要求，授权符合条件的运营机构进行治理、开发，并面向市场公平提供数据产品和技术服务的活动。</w:t>
      </w:r>
    </w:p>
    <w:p w14:paraId="327EB896">
      <w:pPr>
        <w:pStyle w:val="25"/>
        <w:keepNext w:val="0"/>
        <w:keepLines w:val="0"/>
        <w:pageBreakBefore w:val="0"/>
        <w:kinsoku/>
        <w:wordWrap/>
        <w:overflowPunct/>
        <w:topLinePunct w:val="0"/>
        <w:autoSpaceDE/>
        <w:autoSpaceDN/>
        <w:bidi w:val="0"/>
        <w:adjustRightInd/>
        <w:snapToGrid/>
        <w:spacing w:line="580" w:lineRule="exact"/>
        <w:ind w:firstLine="643"/>
        <w:jc w:val="left"/>
        <w:textAlignment w:val="auto"/>
        <w:rPr>
          <w:rFonts w:eastAsia="仿宋"/>
          <w:b/>
          <w:bCs/>
        </w:rPr>
      </w:pPr>
      <w:r>
        <w:rPr>
          <w:rFonts w:hint="eastAsia" w:eastAsia="仿宋"/>
          <w:b/>
          <w:bCs/>
        </w:rPr>
        <w:t>第三十二条【施行日期】</w:t>
      </w:r>
    </w:p>
    <w:p w14:paraId="1081E99F">
      <w:pPr>
        <w:pStyle w:val="14"/>
        <w:keepNext w:val="0"/>
        <w:keepLines w:val="0"/>
        <w:pageBreakBefore w:val="0"/>
        <w:kinsoku/>
        <w:wordWrap/>
        <w:overflowPunct/>
        <w:topLinePunct w:val="0"/>
        <w:autoSpaceDE/>
        <w:autoSpaceDN/>
        <w:bidi w:val="0"/>
        <w:adjustRightInd/>
        <w:snapToGrid/>
        <w:spacing w:beforeLines="0" w:afterLines="0" w:line="580" w:lineRule="exact"/>
        <w:ind w:firstLine="632" w:firstLineChars="200"/>
        <w:jc w:val="left"/>
        <w:textAlignment w:val="auto"/>
        <w:rPr>
          <w:rFonts w:hint="eastAsia"/>
          <w:lang w:eastAsia="zh-CN"/>
        </w:rPr>
      </w:pPr>
      <w:r>
        <w:rPr>
          <w:rFonts w:hint="eastAsia"/>
        </w:rPr>
        <w:t>本条例自2026年 月 日起施行。</w:t>
      </w:r>
    </w:p>
    <w:sectPr>
      <w:footerReference r:id="rId3" w:type="default"/>
      <w:footerReference r:id="rId4" w:type="even"/>
      <w:pgSz w:w="11906" w:h="16838"/>
      <w:pgMar w:top="2098" w:right="1474" w:bottom="1984" w:left="1587" w:header="851" w:footer="1587" w:gutter="0"/>
      <w:pgNumType w:fmt="numberInDash"/>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imes New Roman (正文 CS 字体)">
    <w:altName w:val="Times New Roman"/>
    <w:panose1 w:val="02020603050405020304"/>
    <w:charset w:val="00"/>
    <w:family w:val="roman"/>
    <w:pitch w:val="default"/>
    <w:sig w:usb0="00000000" w:usb1="00000000" w:usb2="00000000" w:usb3="00000000" w:csb0="00040001" w:csb1="00000000"/>
  </w:font>
  <w:font w:name="DejaVu Sans">
    <w:altName w:val="Segoe Print"/>
    <w:panose1 w:val="020B0603030804020204"/>
    <w:charset w:val="00"/>
    <w:family w:val="auto"/>
    <w:pitch w:val="default"/>
    <w:sig w:usb0="00000000" w:usb1="00000000" w:usb2="0A246029" w:usb3="0400200C" w:csb0="600001FF" w:csb1="DFFF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3E4B6">
    <w:pPr>
      <w:pStyle w:val="15"/>
    </w:pPr>
    <w:r>
      <w:rPr>
        <w:sz w:val="18"/>
      </w:rPr>
      <mc:AlternateContent>
        <mc:Choice Requires="wps">
          <w:drawing>
            <wp:anchor distT="0" distB="0" distL="114300" distR="114300" simplePos="0" relativeHeight="251659264" behindDoc="0" locked="0" layoutInCell="1" allowOverlap="1">
              <wp:simplePos x="0" y="0"/>
              <wp:positionH relativeFrom="margin">
                <wp:posOffset>4869815</wp:posOffset>
              </wp:positionH>
              <wp:positionV relativeFrom="paragraph">
                <wp:posOffset>0</wp:posOffset>
              </wp:positionV>
              <wp:extent cx="74676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4676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240B1">
                          <w:pPr>
                            <w:pStyle w:val="15"/>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3.45pt;margin-top:0pt;height:144pt;width:58.8pt;mso-position-horizontal-relative:margin;z-index:251659264;mso-width-relative:page;mso-height-relative:page;" filled="f" stroked="f" coordsize="21600,21600" o:gfxdata="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D9W9/WAAAACAEAAA8AAAAAAAAAAQAgAAAAIgAAAGRycy9kb3ducmV2&#10;LnhtbFBLAQIUABQAAAAIAIdO4kA3BO5PNwIAAGIEAAAOAAAAAAAAAAEAIAAAACUBAABkcnMvZTJv&#10;RG9jLnhtbFBLBQYAAAAABgAGAFkBAADOBQAAAAA=&#10;">
              <v:fill on="f" focussize="0,0"/>
              <v:stroke on="f" weight="0.5pt"/>
              <v:imagedata o:title=""/>
              <o:lock v:ext="edit" aspectratio="f"/>
              <v:textbox inset="0mm,0mm,0mm,0mm" style="mso-fit-shape-to-text:t;">
                <w:txbxContent>
                  <w:p w14:paraId="3AF240B1">
                    <w:pPr>
                      <w:pStyle w:val="15"/>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- 1 -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3AE04">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D66E3">
                          <w:pPr>
                            <w:pStyle w:val="15"/>
                          </w:pPr>
                          <w:r>
                            <w:rPr>
                              <w:rFonts w:hint="eastAsia" w:asciiTheme="minorEastAsia" w:hAnsiTheme="minorEastAsia" w:eastAsiaTheme="minorEastAsia" w:cstheme="minorEastAsia"/>
                              <w:sz w:val="28"/>
                              <w:szCs w:val="44"/>
                              <w:lang w:val="en-US" w:eastAsia="zh-CN"/>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FFD66E3">
                    <w:pPr>
                      <w:pStyle w:val="15"/>
                    </w:pPr>
                    <w:r>
                      <w:rPr>
                        <w:rFonts w:hint="eastAsia" w:asciiTheme="minorEastAsia" w:hAnsiTheme="minorEastAsia" w:eastAsiaTheme="minorEastAsia" w:cstheme="minorEastAsia"/>
                        <w:sz w:val="28"/>
                        <w:szCs w:val="44"/>
                        <w:lang w:val="en-US" w:eastAsia="zh-CN"/>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evenAndOddHeaders w:val="1"/>
  <w:drawingGridHorizontalSpacing w:val="158"/>
  <w:drawingGridVerticalSpacing w:val="29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iOGJjNzRjMzc1NTNhNTkyOGY1NTEzNDlhYmU5YjYifQ=="/>
  </w:docVars>
  <w:rsids>
    <w:rsidRoot w:val="00172A27"/>
    <w:rsid w:val="015C4BE4"/>
    <w:rsid w:val="01934D32"/>
    <w:rsid w:val="02074DBE"/>
    <w:rsid w:val="02DE3496"/>
    <w:rsid w:val="049219CB"/>
    <w:rsid w:val="06D560F1"/>
    <w:rsid w:val="098D5A7C"/>
    <w:rsid w:val="0BA8798D"/>
    <w:rsid w:val="0BE753A9"/>
    <w:rsid w:val="0F2707D0"/>
    <w:rsid w:val="11935FE5"/>
    <w:rsid w:val="12AB2E1F"/>
    <w:rsid w:val="165C3FF7"/>
    <w:rsid w:val="16755C42"/>
    <w:rsid w:val="17482B02"/>
    <w:rsid w:val="19BA29EE"/>
    <w:rsid w:val="19D86EA2"/>
    <w:rsid w:val="1A7A439B"/>
    <w:rsid w:val="1E201C75"/>
    <w:rsid w:val="20560E55"/>
    <w:rsid w:val="21526F2D"/>
    <w:rsid w:val="22F9269F"/>
    <w:rsid w:val="23FB0191"/>
    <w:rsid w:val="24100BAD"/>
    <w:rsid w:val="24AA3094"/>
    <w:rsid w:val="25792627"/>
    <w:rsid w:val="26322EA6"/>
    <w:rsid w:val="28133B3B"/>
    <w:rsid w:val="2A9500CF"/>
    <w:rsid w:val="2B7208CD"/>
    <w:rsid w:val="2BFEC90F"/>
    <w:rsid w:val="2CF502F3"/>
    <w:rsid w:val="2D3351F6"/>
    <w:rsid w:val="2DDB3598"/>
    <w:rsid w:val="2EFB3E93"/>
    <w:rsid w:val="2F324271"/>
    <w:rsid w:val="304130D4"/>
    <w:rsid w:val="305808A6"/>
    <w:rsid w:val="32B91854"/>
    <w:rsid w:val="32D6019E"/>
    <w:rsid w:val="3375127E"/>
    <w:rsid w:val="35973BE8"/>
    <w:rsid w:val="369115B2"/>
    <w:rsid w:val="371B4CF0"/>
    <w:rsid w:val="379D7145"/>
    <w:rsid w:val="391D5107"/>
    <w:rsid w:val="39768C18"/>
    <w:rsid w:val="39C12358"/>
    <w:rsid w:val="39CB02EF"/>
    <w:rsid w:val="39F75193"/>
    <w:rsid w:val="3AC2438B"/>
    <w:rsid w:val="3B5E6B5B"/>
    <w:rsid w:val="3BBDB7B9"/>
    <w:rsid w:val="3BFE2DF5"/>
    <w:rsid w:val="3DEBB5DB"/>
    <w:rsid w:val="3E685710"/>
    <w:rsid w:val="3FA795DE"/>
    <w:rsid w:val="3FF51A9B"/>
    <w:rsid w:val="3FF94666"/>
    <w:rsid w:val="3FFF2BBE"/>
    <w:rsid w:val="41492772"/>
    <w:rsid w:val="41C15C90"/>
    <w:rsid w:val="43BB36CC"/>
    <w:rsid w:val="4644683A"/>
    <w:rsid w:val="469C2C0D"/>
    <w:rsid w:val="493F747F"/>
    <w:rsid w:val="497B58AB"/>
    <w:rsid w:val="4AE36E7C"/>
    <w:rsid w:val="4AEA6103"/>
    <w:rsid w:val="4C3A29CC"/>
    <w:rsid w:val="4DD61C55"/>
    <w:rsid w:val="4DFB9F6E"/>
    <w:rsid w:val="51DB6D1F"/>
    <w:rsid w:val="52821DB9"/>
    <w:rsid w:val="53F755ED"/>
    <w:rsid w:val="562D4B8F"/>
    <w:rsid w:val="56621CA0"/>
    <w:rsid w:val="56E7101D"/>
    <w:rsid w:val="57041C1D"/>
    <w:rsid w:val="57FCFC5A"/>
    <w:rsid w:val="581D681B"/>
    <w:rsid w:val="5967381E"/>
    <w:rsid w:val="599057ED"/>
    <w:rsid w:val="5A6EE060"/>
    <w:rsid w:val="5AD120AB"/>
    <w:rsid w:val="5B127765"/>
    <w:rsid w:val="5B5BE817"/>
    <w:rsid w:val="5B9D3371"/>
    <w:rsid w:val="5BD30433"/>
    <w:rsid w:val="5DEFED58"/>
    <w:rsid w:val="5E4338E8"/>
    <w:rsid w:val="5E695169"/>
    <w:rsid w:val="5EE87457"/>
    <w:rsid w:val="5EEFDFD7"/>
    <w:rsid w:val="5FA254A5"/>
    <w:rsid w:val="5FBBB6B4"/>
    <w:rsid w:val="5FBEFD52"/>
    <w:rsid w:val="5FF0A2F1"/>
    <w:rsid w:val="5FF780AE"/>
    <w:rsid w:val="624329F4"/>
    <w:rsid w:val="637B3DD7"/>
    <w:rsid w:val="6397881A"/>
    <w:rsid w:val="63BA72DC"/>
    <w:rsid w:val="649A1AD9"/>
    <w:rsid w:val="65506740"/>
    <w:rsid w:val="6886725D"/>
    <w:rsid w:val="69FD157E"/>
    <w:rsid w:val="6B2F7B65"/>
    <w:rsid w:val="6B6A33CE"/>
    <w:rsid w:val="6BF4477A"/>
    <w:rsid w:val="6BFE800C"/>
    <w:rsid w:val="6CFE6D12"/>
    <w:rsid w:val="6E142BA5"/>
    <w:rsid w:val="6F7BF7CA"/>
    <w:rsid w:val="6FE6AC5A"/>
    <w:rsid w:val="70875449"/>
    <w:rsid w:val="70E74186"/>
    <w:rsid w:val="71D61CDB"/>
    <w:rsid w:val="728815BE"/>
    <w:rsid w:val="73346D30"/>
    <w:rsid w:val="73A56F22"/>
    <w:rsid w:val="73FF0773"/>
    <w:rsid w:val="74744D15"/>
    <w:rsid w:val="74F84594"/>
    <w:rsid w:val="758742EB"/>
    <w:rsid w:val="75F71FFF"/>
    <w:rsid w:val="76DC5955"/>
    <w:rsid w:val="774FE785"/>
    <w:rsid w:val="77A21B40"/>
    <w:rsid w:val="77AA5069"/>
    <w:rsid w:val="77BF20ED"/>
    <w:rsid w:val="77D32AB6"/>
    <w:rsid w:val="77F82FA7"/>
    <w:rsid w:val="79FF307E"/>
    <w:rsid w:val="7ACC5ABB"/>
    <w:rsid w:val="7BFF487A"/>
    <w:rsid w:val="7CEB3138"/>
    <w:rsid w:val="7CFFB253"/>
    <w:rsid w:val="7E906D21"/>
    <w:rsid w:val="7E9E23B7"/>
    <w:rsid w:val="7ED75C19"/>
    <w:rsid w:val="7EF54B8C"/>
    <w:rsid w:val="7EF71DA9"/>
    <w:rsid w:val="7EFB4CA7"/>
    <w:rsid w:val="7EFFF383"/>
    <w:rsid w:val="7F3F7E24"/>
    <w:rsid w:val="7F4B50A9"/>
    <w:rsid w:val="7F6F3BD4"/>
    <w:rsid w:val="7F7D8496"/>
    <w:rsid w:val="7F957332"/>
    <w:rsid w:val="7F974E6A"/>
    <w:rsid w:val="7FA9020A"/>
    <w:rsid w:val="7FE9FC8D"/>
    <w:rsid w:val="7FF90854"/>
    <w:rsid w:val="7FFDE5F2"/>
    <w:rsid w:val="8A8F2611"/>
    <w:rsid w:val="8FF540AA"/>
    <w:rsid w:val="97D3D829"/>
    <w:rsid w:val="9AFE7E45"/>
    <w:rsid w:val="9BF6909A"/>
    <w:rsid w:val="9FA7685F"/>
    <w:rsid w:val="B1DFCAA0"/>
    <w:rsid w:val="B3BB52BA"/>
    <w:rsid w:val="B7FFADCF"/>
    <w:rsid w:val="B9BE1618"/>
    <w:rsid w:val="BB7F9BD6"/>
    <w:rsid w:val="BBB70E73"/>
    <w:rsid w:val="BE3B499D"/>
    <w:rsid w:val="BF9E8411"/>
    <w:rsid w:val="BFFF6FF9"/>
    <w:rsid w:val="C2DFA9B5"/>
    <w:rsid w:val="D1FFBD08"/>
    <w:rsid w:val="D67F167A"/>
    <w:rsid w:val="D77D4E86"/>
    <w:rsid w:val="DBEFEB82"/>
    <w:rsid w:val="DE7B5F8E"/>
    <w:rsid w:val="DFDFF238"/>
    <w:rsid w:val="E655F464"/>
    <w:rsid w:val="EA7F89B5"/>
    <w:rsid w:val="EDF76B88"/>
    <w:rsid w:val="EEBF9440"/>
    <w:rsid w:val="EEDF7FF9"/>
    <w:rsid w:val="EF589D69"/>
    <w:rsid w:val="EFDFEE17"/>
    <w:rsid w:val="EFFFAE3F"/>
    <w:rsid w:val="F3EB885A"/>
    <w:rsid w:val="F56BF9A5"/>
    <w:rsid w:val="F5779FB5"/>
    <w:rsid w:val="F5792815"/>
    <w:rsid w:val="F5CDE455"/>
    <w:rsid w:val="F5FFB3AA"/>
    <w:rsid w:val="F73FAD79"/>
    <w:rsid w:val="F79DE479"/>
    <w:rsid w:val="F7B3F473"/>
    <w:rsid w:val="F7EF68B9"/>
    <w:rsid w:val="F7FD3A56"/>
    <w:rsid w:val="F8BF8A18"/>
    <w:rsid w:val="F90F9953"/>
    <w:rsid w:val="FBDA6DB6"/>
    <w:rsid w:val="FC72FD30"/>
    <w:rsid w:val="FDD52E14"/>
    <w:rsid w:val="FDED81F2"/>
    <w:rsid w:val="FE57E64D"/>
    <w:rsid w:val="FEEB8D62"/>
    <w:rsid w:val="FEF9B9B7"/>
    <w:rsid w:val="FF0E2032"/>
    <w:rsid w:val="FF1F55F5"/>
    <w:rsid w:val="FF4D0CF4"/>
    <w:rsid w:val="FF737917"/>
    <w:rsid w:val="FF78EDD8"/>
    <w:rsid w:val="FF7ED501"/>
    <w:rsid w:val="FFDB5B44"/>
    <w:rsid w:val="FFFF756F"/>
    <w:rsid w:val="FFFFBEAF"/>
    <w:rsid w:val="FFFFC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仿宋" w:eastAsia="仿宋" w:cs="Times New Roman"/>
      <w:kern w:val="2"/>
      <w:sz w:val="32"/>
      <w:szCs w:val="24"/>
      <w:lang w:val="en-US" w:eastAsia="zh-CN" w:bidi="ar-SA"/>
    </w:rPr>
  </w:style>
  <w:style w:type="paragraph" w:styleId="4">
    <w:name w:val="heading 1"/>
    <w:basedOn w:val="1"/>
    <w:next w:val="1"/>
    <w:qFormat/>
    <w:uiPriority w:val="0"/>
    <w:pPr>
      <w:keepNext/>
      <w:keepLines/>
      <w:spacing w:beforeLines="0" w:beforeAutospacing="0" w:afterLines="0" w:afterAutospacing="0" w:line="240" w:lineRule="auto"/>
      <w:ind w:firstLine="0" w:firstLineChars="0"/>
      <w:outlineLvl w:val="9"/>
    </w:pPr>
    <w:rPr>
      <w:kern w:val="44"/>
      <w:szCs w:val="22"/>
      <w:lang w:val="en-US" w:eastAsia="zh-CN" w:bidi="ar-SA"/>
    </w:rPr>
  </w:style>
  <w:style w:type="paragraph" w:styleId="5">
    <w:name w:val="heading 2"/>
    <w:basedOn w:val="1"/>
    <w:next w:val="1"/>
    <w:semiHidden/>
    <w:unhideWhenUsed/>
    <w:qFormat/>
    <w:uiPriority w:val="0"/>
    <w:pPr>
      <w:keepNext/>
      <w:keepLines/>
      <w:spacing w:beforeLines="0" w:beforeAutospacing="0" w:afterLines="0" w:afterAutospacing="0" w:line="240" w:lineRule="auto"/>
      <w:ind w:firstLine="632" w:firstLineChars="200"/>
      <w:outlineLvl w:val="1"/>
    </w:pPr>
    <w:rPr>
      <w:rFonts w:ascii="仿宋" w:hAnsi="仿宋" w:eastAsia="仿宋"/>
    </w:rPr>
  </w:style>
  <w:style w:type="paragraph" w:styleId="6">
    <w:name w:val="heading 3"/>
    <w:basedOn w:val="1"/>
    <w:next w:val="1"/>
    <w:semiHidden/>
    <w:unhideWhenUsed/>
    <w:qFormat/>
    <w:uiPriority w:val="0"/>
    <w:pPr>
      <w:keepNext/>
      <w:keepLines/>
      <w:spacing w:beforeLines="0" w:beforeAutospacing="0" w:afterLines="0" w:afterAutospacing="0" w:line="240" w:lineRule="auto"/>
      <w:ind w:firstLine="632" w:firstLineChars="200"/>
      <w:outlineLvl w:val="2"/>
    </w:pPr>
  </w:style>
  <w:style w:type="paragraph" w:styleId="7">
    <w:name w:val="heading 4"/>
    <w:basedOn w:val="1"/>
    <w:next w:val="1"/>
    <w:semiHidden/>
    <w:unhideWhenUsed/>
    <w:qFormat/>
    <w:uiPriority w:val="0"/>
    <w:pPr>
      <w:keepNext/>
      <w:keepLines/>
      <w:spacing w:beforeLines="0" w:beforeAutospacing="0" w:afterLines="0" w:afterAutospacing="0" w:line="240" w:lineRule="auto"/>
      <w:ind w:firstLine="632" w:firstLineChars="200"/>
      <w:outlineLvl w:val="3"/>
    </w:pPr>
    <w:rPr>
      <w:rFonts w:ascii="Arial" w:hAnsi="Arial" w:eastAsia="仿宋"/>
      <w:sz w:val="32"/>
    </w:rPr>
  </w:style>
  <w:style w:type="paragraph" w:styleId="8">
    <w:name w:val="heading 5"/>
    <w:basedOn w:val="1"/>
    <w:next w:val="1"/>
    <w:semiHidden/>
    <w:unhideWhenUsed/>
    <w:qFormat/>
    <w:uiPriority w:val="0"/>
    <w:pPr>
      <w:keepNext/>
      <w:keepLines/>
      <w:spacing w:beforeLines="0" w:beforeAutospacing="0" w:afterLines="0" w:afterAutospacing="0" w:line="240" w:lineRule="auto"/>
      <w:outlineLvl w:val="4"/>
    </w:pPr>
    <w:rPr>
      <w:b/>
      <w:sz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next w:val="1"/>
    <w:qFormat/>
    <w:uiPriority w:val="99"/>
    <w:pPr>
      <w:spacing w:after="120"/>
      <w:ind w:left="420" w:leftChars="200"/>
    </w:pPr>
  </w:style>
  <w:style w:type="paragraph" w:styleId="9">
    <w:name w:val="Normal Indent"/>
    <w:basedOn w:val="1"/>
    <w:qFormat/>
    <w:uiPriority w:val="0"/>
    <w:pPr>
      <w:ind w:firstLine="420" w:firstLineChars="200"/>
    </w:pPr>
  </w:style>
  <w:style w:type="paragraph" w:styleId="10">
    <w:name w:val="index 5"/>
    <w:basedOn w:val="1"/>
    <w:next w:val="1"/>
    <w:qFormat/>
    <w:uiPriority w:val="0"/>
    <w:pPr>
      <w:ind w:left="1680"/>
    </w:pPr>
  </w:style>
  <w:style w:type="paragraph" w:styleId="11">
    <w:name w:val="annotation text"/>
    <w:basedOn w:val="1"/>
    <w:semiHidden/>
    <w:unhideWhenUsed/>
    <w:qFormat/>
    <w:uiPriority w:val="99"/>
    <w:pPr>
      <w:jc w:val="left"/>
    </w:pPr>
  </w:style>
  <w:style w:type="paragraph" w:styleId="12">
    <w:name w:val="index 6"/>
    <w:basedOn w:val="1"/>
    <w:next w:val="1"/>
    <w:unhideWhenUsed/>
    <w:qFormat/>
    <w:uiPriority w:val="99"/>
    <w:pPr>
      <w:ind w:left="1000" w:leftChars="1000" w:firstLine="0"/>
    </w:pPr>
  </w:style>
  <w:style w:type="paragraph" w:styleId="13">
    <w:name w:val="Body Text"/>
    <w:basedOn w:val="1"/>
    <w:qFormat/>
    <w:uiPriority w:val="0"/>
    <w:pPr>
      <w:spacing w:after="120" w:afterLines="0" w:afterAutospacing="0"/>
    </w:pPr>
  </w:style>
  <w:style w:type="paragraph" w:styleId="14">
    <w:name w:val="Plain Text"/>
    <w:basedOn w:val="1"/>
    <w:qFormat/>
    <w:uiPriority w:val="0"/>
    <w:rPr>
      <w:rFonts w:ascii="宋体" w:hAnsi="Courier New"/>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Body Text First Indent"/>
    <w:next w:val="4"/>
    <w:qFormat/>
    <w:uiPriority w:val="0"/>
    <w:pPr>
      <w:ind w:firstLine="632" w:firstLineChars="200"/>
    </w:pPr>
    <w:rPr>
      <w:rFonts w:ascii="仿宋" w:hAnsi="仿宋" w:eastAsia="仿宋" w:cstheme="minorBidi"/>
      <w:sz w:val="32"/>
    </w:rPr>
  </w:style>
  <w:style w:type="character" w:styleId="21">
    <w:name w:val="page number"/>
    <w:basedOn w:val="20"/>
    <w:qFormat/>
    <w:uiPriority w:val="0"/>
  </w:style>
  <w:style w:type="character" w:styleId="22">
    <w:name w:val="Hyperlink"/>
    <w:basedOn w:val="20"/>
    <w:qFormat/>
    <w:uiPriority w:val="0"/>
    <w:rPr>
      <w:color w:val="000000"/>
      <w:sz w:val="18"/>
      <w:szCs w:val="18"/>
      <w:u w:val="none"/>
    </w:rPr>
  </w:style>
  <w:style w:type="character" w:styleId="23">
    <w:name w:val="annotation reference"/>
    <w:basedOn w:val="20"/>
    <w:qFormat/>
    <w:uiPriority w:val="0"/>
    <w:rPr>
      <w:sz w:val="21"/>
      <w:szCs w:val="21"/>
    </w:rPr>
  </w:style>
  <w:style w:type="paragraph" w:customStyle="1" w:styleId="24">
    <w:name w:val="标准格式"/>
    <w:basedOn w:val="13"/>
    <w:qFormat/>
    <w:uiPriority w:val="0"/>
    <w:rPr>
      <w:rFonts w:ascii="仿宋_GB2312" w:hAnsi="仿宋_GB2312" w:eastAsia="仿宋"/>
      <w:kern w:val="2"/>
      <w:lang w:val="en-US" w:eastAsia="zh-CN" w:bidi="ar-SA"/>
    </w:rPr>
  </w:style>
  <w:style w:type="paragraph" w:customStyle="1" w:styleId="25">
    <w:name w:val="公文正文"/>
    <w:qFormat/>
    <w:uiPriority w:val="0"/>
    <w:pPr>
      <w:spacing w:line="600" w:lineRule="exact"/>
      <w:ind w:firstLine="200" w:firstLineChars="200"/>
      <w:jc w:val="both"/>
    </w:pPr>
    <w:rPr>
      <w:rFonts w:ascii="Times New Roman" w:hAnsi="Times New Roman" w:eastAsia="仿宋_GB2312" w:cs="Times New Roman (正文 CS 字体)"/>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47625" cmpd="thickThin">
          <a:solidFill>
            <a:srgbClr val="FF0000"/>
          </a:solidFill>
          <a:prstDash val="solid"/>
        </a:ln>
      </a:spPr>
      <a:bodyPr/>
      <a:lstStyle/>
      <a:style>
        <a:lnRef idx="1">
          <a:schemeClr val="accent1"/>
        </a:lnRef>
        <a:fillRef idx="0">
          <a:schemeClr val="accent1"/>
        </a:fillRef>
        <a:effectRef idx="0">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5512</Words>
  <Characters>5515</Characters>
  <Lines>0</Lines>
  <Paragraphs>0</Paragraphs>
  <TotalTime>6</TotalTime>
  <ScaleCrop>false</ScaleCrop>
  <LinksUpToDate>false</LinksUpToDate>
  <CharactersWithSpaces>5540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2020-10-04T01:42:00Z</dcterms:created>
  <dc:creator>Administrator</dc:creator>
  <cp:lastModifiedBy>林永洪lin</cp:lastModifiedBy>
  <cp:lastPrinted>2026-09-09T00:43:00Z</cp:lastPrinted>
  <dcterms:modified xsi:type="dcterms:W3CDTF">2026-09-08T08:59:28Z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6E8D5F1EBADF4EE68BCEFF230C7B807E_13</vt:lpwstr>
  </property>
  <property fmtid="{D5CDD505-2E9C-101B-9397-08002B2CF9AE}" pid="4" name="KSOTemplateDocerSaveRecord">
    <vt:lpwstr>eyJoZGlkIjoiOTM0YjNmNmU0M2ZjMDY2MjIwMTk2NDhjYjM3ZmUxYmYiLCJ1c2VySWQiOiIxMTcwNjc2ODMyIn0=</vt:lpwstr>
  </property>
</Properties>
</file>