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cs="黑体"/>
          <w:sz w:val="44"/>
          <w:szCs w:val="44"/>
        </w:rPr>
      </w:pPr>
      <w:bookmarkStart w:id="0" w:name="_GoBack"/>
      <w:bookmarkEnd w:id="0"/>
      <w:r>
        <w:rPr>
          <w:rFonts w:hint="eastAsia" w:ascii="方正小标宋简体" w:hAnsi="黑体" w:eastAsia="方正小标宋简体" w:cs="黑体"/>
          <w:sz w:val="44"/>
          <w:szCs w:val="44"/>
        </w:rPr>
        <w:t>莆田市人民代表大会常务委员会公告</w:t>
      </w:r>
    </w:p>
    <w:p>
      <w:pPr>
        <w:spacing w:before="289" w:after="289"/>
        <w:jc w:val="center"/>
        <w:rPr>
          <w:rFonts w:hint="eastAsia" w:ascii="楷体" w:hAnsi="楷体" w:eastAsia="楷体" w:cs="仿宋_GB2312"/>
          <w:szCs w:val="32"/>
        </w:rPr>
      </w:pPr>
      <w:r>
        <w:rPr>
          <w:rFonts w:hint="eastAsia" w:ascii="楷体" w:hAnsi="楷体" w:eastAsia="楷体" w:cs="仿宋_GB2312"/>
          <w:szCs w:val="32"/>
        </w:rPr>
        <w:t>〔</w:t>
      </w:r>
      <w:r>
        <w:rPr>
          <w:rFonts w:hint="eastAsia" w:ascii="楷体" w:hAnsi="楷体" w:eastAsia="楷体" w:cs="仿宋_GB2312"/>
          <w:szCs w:val="32"/>
          <w:lang w:eastAsia="zh-CN"/>
        </w:rPr>
        <w:t>八</w:t>
      </w:r>
      <w:r>
        <w:rPr>
          <w:rFonts w:hint="eastAsia" w:ascii="楷体" w:hAnsi="楷体" w:eastAsia="楷体" w:cs="仿宋_GB2312"/>
          <w:szCs w:val="32"/>
        </w:rPr>
        <w:t>届〕第</w:t>
      </w:r>
      <w:r>
        <w:rPr>
          <w:rFonts w:hint="eastAsia" w:ascii="楷体" w:hAnsi="楷体" w:eastAsia="楷体" w:cs="仿宋_GB2312"/>
          <w:szCs w:val="32"/>
          <w:lang w:val="en-US" w:eastAsia="zh-CN"/>
        </w:rPr>
        <w:t>十五</w:t>
      </w:r>
      <w:r>
        <w:rPr>
          <w:rFonts w:hint="eastAsia" w:ascii="楷体" w:hAnsi="楷体" w:eastAsia="楷体" w:cs="仿宋_GB2312"/>
          <w:szCs w:val="32"/>
        </w:rPr>
        <w:t>号</w:t>
      </w:r>
    </w:p>
    <w:p>
      <w:pPr>
        <w:ind w:firstLine="632" w:firstLineChars="200"/>
        <w:rPr>
          <w:rFonts w:hint="eastAsia"/>
          <w:lang w:eastAsia="zh-CN"/>
        </w:rPr>
      </w:pPr>
      <w:r>
        <w:rPr>
          <w:rFonts w:hint="eastAsia"/>
          <w:lang w:val="en-US" w:eastAsia="zh-CN"/>
        </w:rPr>
        <w:t>《莆田市人民代表大会关于修改〈莆田市人民代表大会及其常务委员会立法条例〉的决定》</w:t>
      </w:r>
      <w:r>
        <w:rPr>
          <w:rFonts w:hint="eastAsia"/>
          <w:lang w:eastAsia="zh-CN"/>
        </w:rPr>
        <w:t>已于202</w:t>
      </w:r>
      <w:r>
        <w:rPr>
          <w:rFonts w:hint="eastAsia"/>
          <w:lang w:val="en-US" w:eastAsia="zh-CN"/>
        </w:rPr>
        <w:t>5</w:t>
      </w:r>
      <w:r>
        <w:rPr>
          <w:rFonts w:hint="eastAsia"/>
          <w:lang w:eastAsia="zh-CN"/>
        </w:rPr>
        <w:t>年</w:t>
      </w:r>
      <w:r>
        <w:rPr>
          <w:rFonts w:hint="eastAsia"/>
          <w:lang w:val="en-US" w:eastAsia="zh-CN"/>
        </w:rPr>
        <w:t>1</w:t>
      </w:r>
      <w:r>
        <w:rPr>
          <w:rFonts w:hint="eastAsia"/>
          <w:lang w:eastAsia="zh-CN"/>
        </w:rPr>
        <w:t>月</w:t>
      </w:r>
      <w:r>
        <w:rPr>
          <w:rFonts w:hint="eastAsia"/>
          <w:lang w:val="en-US" w:eastAsia="zh-CN"/>
        </w:rPr>
        <w:t>10</w:t>
      </w:r>
      <w:r>
        <w:rPr>
          <w:rFonts w:hint="eastAsia"/>
          <w:lang w:eastAsia="zh-CN"/>
        </w:rPr>
        <w:t>日经莆田市第八届人民代表大会第五次会议通过，于</w:t>
      </w:r>
      <w:r>
        <w:rPr>
          <w:rFonts w:hint="default"/>
          <w:lang w:val="en-US" w:eastAsia="zh-CN"/>
        </w:rPr>
        <w:t>202</w:t>
      </w:r>
      <w:r>
        <w:rPr>
          <w:rFonts w:hint="eastAsia"/>
          <w:lang w:val="en-US" w:eastAsia="zh-CN"/>
        </w:rPr>
        <w:t>5</w:t>
      </w:r>
      <w:r>
        <w:rPr>
          <w:rFonts w:hint="default"/>
          <w:lang w:val="en-US" w:eastAsia="zh-CN"/>
        </w:rPr>
        <w:t>年</w:t>
      </w:r>
      <w:r>
        <w:rPr>
          <w:rFonts w:hint="eastAsia"/>
          <w:lang w:val="en-US" w:eastAsia="zh-CN"/>
        </w:rPr>
        <w:t>3</w:t>
      </w:r>
      <w:r>
        <w:rPr>
          <w:rFonts w:hint="default"/>
          <w:lang w:val="en-US" w:eastAsia="zh-CN"/>
        </w:rPr>
        <w:t>月</w:t>
      </w:r>
      <w:r>
        <w:rPr>
          <w:rFonts w:hint="eastAsia"/>
          <w:lang w:val="en-US" w:eastAsia="zh-CN"/>
        </w:rPr>
        <w:t>25</w:t>
      </w:r>
      <w:r>
        <w:rPr>
          <w:rFonts w:hint="default"/>
          <w:lang w:val="en-US" w:eastAsia="zh-CN"/>
        </w:rPr>
        <w:t>日</w:t>
      </w:r>
      <w:r>
        <w:rPr>
          <w:rFonts w:hint="eastAsia"/>
          <w:lang w:eastAsia="zh-CN"/>
        </w:rPr>
        <w:t>经</w:t>
      </w:r>
      <w:r>
        <w:rPr>
          <w:rFonts w:hint="default"/>
          <w:lang w:val="en-US" w:eastAsia="zh-CN"/>
        </w:rPr>
        <w:t>福建省第十四届人民代表大会常务委员会第十</w:t>
      </w:r>
      <w:r>
        <w:rPr>
          <w:rFonts w:hint="eastAsia"/>
          <w:lang w:val="en-US" w:eastAsia="zh-CN"/>
        </w:rPr>
        <w:t>五</w:t>
      </w:r>
      <w:r>
        <w:rPr>
          <w:rFonts w:hint="default"/>
          <w:lang w:val="en-US" w:eastAsia="zh-CN"/>
        </w:rPr>
        <w:t>次会议批准</w:t>
      </w:r>
      <w:r>
        <w:rPr>
          <w:rFonts w:hint="eastAsia"/>
          <w:lang w:eastAsia="zh-CN"/>
        </w:rPr>
        <w:t>，现予公布，自公布之日起施行。</w:t>
      </w:r>
    </w:p>
    <w:p>
      <w:pPr>
        <w:rPr>
          <w:rFonts w:hint="eastAsia" w:hAnsi="仿宋"/>
        </w:rPr>
      </w:pPr>
    </w:p>
    <w:p>
      <w:pPr>
        <w:rPr>
          <w:rFonts w:hint="eastAsia" w:hAnsi="仿宋"/>
        </w:rPr>
      </w:pPr>
    </w:p>
    <w:p>
      <w:pPr>
        <w:rPr>
          <w:rFonts w:hint="eastAsia" w:hAnsi="仿宋"/>
        </w:rPr>
      </w:pPr>
      <w:r>
        <w:rPr>
          <w:rFonts w:hint="eastAsia" w:hAnsi="仿宋"/>
        </w:rPr>
        <w:t xml:space="preserve">                      </w:t>
      </w:r>
      <w:r>
        <w:rPr>
          <w:rFonts w:hint="eastAsia"/>
          <w:lang w:val="en-US" w:eastAsia="zh-CN"/>
        </w:rPr>
        <w:t xml:space="preserve">    </w:t>
      </w:r>
      <w:r>
        <w:rPr>
          <w:rFonts w:hint="eastAsia" w:hAnsi="仿宋"/>
        </w:rPr>
        <w:t>莆田市人民代表大会常务委员会</w:t>
      </w:r>
    </w:p>
    <w:p>
      <w:pPr>
        <w:rPr>
          <w:rFonts w:hint="eastAsia" w:cs="仿宋"/>
        </w:rPr>
      </w:pPr>
      <w:r>
        <w:rPr>
          <w:rFonts w:hint="eastAsia" w:hAnsi="仿宋"/>
        </w:rPr>
        <w:t xml:space="preserve">                             </w:t>
      </w:r>
      <w:r>
        <w:rPr>
          <w:rFonts w:hint="eastAsia"/>
          <w:lang w:val="en-US" w:eastAsia="zh-CN"/>
        </w:rPr>
        <w:t xml:space="preserve">   </w:t>
      </w:r>
      <w:r>
        <w:rPr>
          <w:rFonts w:hint="eastAsia" w:hAnsi="仿宋"/>
        </w:rPr>
        <w:t>20</w:t>
      </w:r>
      <w:r>
        <w:rPr>
          <w:rFonts w:hint="eastAsia" w:hAnsi="仿宋"/>
          <w:lang w:val="en-US" w:eastAsia="zh-CN"/>
        </w:rPr>
        <w:t>2</w:t>
      </w:r>
      <w:r>
        <w:rPr>
          <w:rFonts w:hint="eastAsia"/>
          <w:lang w:val="en-US" w:eastAsia="zh-CN"/>
        </w:rPr>
        <w:t>5</w:t>
      </w:r>
      <w:r>
        <w:rPr>
          <w:rFonts w:hint="eastAsia" w:hAnsi="仿宋"/>
        </w:rPr>
        <w:t>年</w:t>
      </w:r>
      <w:r>
        <w:rPr>
          <w:rFonts w:hint="eastAsia"/>
          <w:lang w:val="en-US" w:eastAsia="zh-CN"/>
        </w:rPr>
        <w:t>3</w:t>
      </w:r>
      <w:r>
        <w:rPr>
          <w:rFonts w:hint="eastAsia" w:hAnsi="仿宋"/>
        </w:rPr>
        <w:t>月</w:t>
      </w:r>
      <w:r>
        <w:rPr>
          <w:rFonts w:hint="eastAsia"/>
          <w:lang w:val="en-US" w:eastAsia="zh-CN"/>
        </w:rPr>
        <w:t>28</w:t>
      </w:r>
      <w:r>
        <w:rPr>
          <w:rFonts w:hint="eastAsia" w:hAnsi="仿宋"/>
        </w:rPr>
        <w:t>日</w:t>
      </w:r>
    </w:p>
    <w:p>
      <w:pPr>
        <w:rPr>
          <w:rFonts w:hint="eastAsia" w:ascii="宋体" w:hAnsi="宋体" w:eastAsia="宋体" w:cs="宋体"/>
          <w:spacing w:val="57"/>
          <w:sz w:val="24"/>
          <w:szCs w:val="24"/>
          <w:lang w:eastAsia="zh-CN"/>
        </w:rPr>
      </w:pPr>
      <w:r>
        <w:rPr>
          <w:rFonts w:hint="eastAsia" w:ascii="宋体" w:hAnsi="宋体" w:eastAsia="宋体" w:cs="宋体"/>
          <w:spacing w:val="57"/>
          <w:sz w:val="24"/>
          <w:szCs w:val="24"/>
          <w:lang w:eastAsia="zh-CN"/>
        </w:rPr>
        <w:br w:type="page"/>
      </w:r>
    </w:p>
    <w:p>
      <w:pPr>
        <w:spacing w:line="58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莆田市人民代表大会</w:t>
      </w:r>
    </w:p>
    <w:p>
      <w:pPr>
        <w:spacing w:line="58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关于修改《莆田市人民</w:t>
      </w:r>
      <w:r>
        <w:rPr>
          <w:rFonts w:hint="eastAsia" w:ascii="方正小标宋简体" w:hAnsi="方正小标宋简体" w:eastAsia="方正小标宋简体" w:cs="方正小标宋简体"/>
          <w:spacing w:val="0"/>
          <w:sz w:val="44"/>
          <w:szCs w:val="44"/>
        </w:rPr>
        <w:t>代表大会</w:t>
      </w:r>
    </w:p>
    <w:p>
      <w:pPr>
        <w:suppressAutoHyphens/>
        <w:snapToGrid w:val="0"/>
        <w:spacing w:line="580" w:lineRule="exact"/>
        <w:ind w:firstLine="0" w:firstLineChars="0"/>
        <w:jc w:val="center"/>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及其常务委员会立法条例》的决定</w:t>
      </w:r>
    </w:p>
    <w:p>
      <w:pPr>
        <w:pStyle w:val="2"/>
        <w:rPr>
          <w:rFonts w:eastAsia="仿宋_GB2312"/>
        </w:rPr>
      </w:pPr>
    </w:p>
    <w:p>
      <w:pPr>
        <w:jc w:val="both"/>
        <w:rPr>
          <w:rFonts w:hint="eastAsia" w:ascii="楷体" w:hAnsi="楷体" w:eastAsia="楷体" w:cs="楷体"/>
          <w:szCs w:val="32"/>
        </w:rPr>
      </w:pPr>
      <w:r>
        <w:rPr>
          <w:rFonts w:hint="eastAsia" w:ascii="楷体" w:hAnsi="楷体" w:eastAsia="楷体" w:cs="楷体"/>
          <w:szCs w:val="32"/>
        </w:rPr>
        <w:t>（2025年1月</w:t>
      </w:r>
      <w:r>
        <w:rPr>
          <w:rFonts w:hint="eastAsia" w:ascii="楷体" w:hAnsi="楷体" w:eastAsia="楷体" w:cs="楷体"/>
          <w:szCs w:val="32"/>
          <w:lang w:val="en-US" w:eastAsia="zh-CN"/>
        </w:rPr>
        <w:t>10</w:t>
      </w:r>
      <w:r>
        <w:rPr>
          <w:rFonts w:hint="eastAsia" w:ascii="楷体" w:hAnsi="楷体" w:eastAsia="楷体" w:cs="楷体"/>
          <w:szCs w:val="32"/>
        </w:rPr>
        <w:t>日莆田市第八届人民代表大会第五次会议通过</w:t>
      </w:r>
    </w:p>
    <w:p>
      <w:pPr>
        <w:jc w:val="center"/>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2025年3月25日福建省第十四届人民代表大会</w:t>
      </w:r>
    </w:p>
    <w:p>
      <w:pPr>
        <w:jc w:val="center"/>
        <w:rPr>
          <w:rFonts w:hint="eastAsia" w:ascii="楷体" w:hAnsi="楷体" w:eastAsia="楷体" w:cs="楷体"/>
          <w:szCs w:val="32"/>
        </w:rPr>
      </w:pPr>
      <w:r>
        <w:rPr>
          <w:rFonts w:hint="eastAsia" w:ascii="楷体" w:hAnsi="楷体" w:eastAsia="楷体" w:cs="楷体"/>
          <w:kern w:val="2"/>
          <w:sz w:val="32"/>
          <w:szCs w:val="32"/>
          <w:lang w:val="en-US" w:eastAsia="zh-CN" w:bidi="ar-SA"/>
        </w:rPr>
        <w:t>常务委员会第十五次会议批准</w:t>
      </w:r>
      <w:r>
        <w:rPr>
          <w:rFonts w:hint="eastAsia" w:ascii="楷体" w:hAnsi="楷体" w:eastAsia="楷体" w:cs="楷体"/>
          <w:szCs w:val="32"/>
        </w:rPr>
        <w:t>）</w:t>
      </w:r>
    </w:p>
    <w:p>
      <w:pPr>
        <w:keepNext w:val="0"/>
        <w:keepLines w:val="0"/>
        <w:pageBreakBefore w:val="0"/>
        <w:widowControl/>
        <w:kinsoku/>
        <w:wordWrap/>
        <w:overflowPunct/>
        <w:topLinePunct w:val="0"/>
        <w:bidi w:val="0"/>
        <w:snapToGrid/>
        <w:spacing w:line="240" w:lineRule="auto"/>
        <w:ind w:firstLine="472"/>
        <w:jc w:val="left"/>
        <w:textAlignment w:val="auto"/>
        <w:rPr>
          <w:rFonts w:ascii="宋体" w:hAnsi="宋体" w:eastAsia="宋体" w:cs="宋体"/>
          <w:kern w:val="0"/>
          <w:sz w:val="24"/>
          <w:lang w:bidi="ar"/>
        </w:rPr>
      </w:pPr>
    </w:p>
    <w:p>
      <w:pPr>
        <w:keepNext w:val="0"/>
        <w:keepLines w:val="0"/>
        <w:pageBreakBefore w:val="0"/>
        <w:widowControl w:val="0"/>
        <w:kinsoku/>
        <w:wordWrap/>
        <w:overflowPunct/>
        <w:topLinePunct w:val="0"/>
        <w:bidi w:val="0"/>
        <w:snapToGrid/>
        <w:spacing w:line="240" w:lineRule="auto"/>
        <w:ind w:firstLine="632"/>
        <w:textAlignment w:val="auto"/>
        <w:rPr>
          <w:rFonts w:hint="eastAsia" w:ascii="仿宋" w:hAnsi="仿宋" w:eastAsia="仿宋" w:cs="仿宋"/>
        </w:rPr>
      </w:pPr>
      <w:r>
        <w:rPr>
          <w:rFonts w:hint="eastAsia" w:ascii="仿宋" w:hAnsi="仿宋" w:eastAsia="仿宋" w:cs="仿宋"/>
        </w:rPr>
        <w:t xml:space="preserve">莆田市第八届人民代表大会第五次会议决定对《莆田市人民代表大会及其常务委员会立法条例》作如下修改： </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color w:val="auto"/>
          <w:kern w:val="2"/>
          <w:sz w:val="32"/>
          <w:szCs w:val="24"/>
        </w:rPr>
      </w:pPr>
      <w:r>
        <w:rPr>
          <w:rFonts w:hint="eastAsia" w:ascii="仿宋" w:hAnsi="仿宋" w:eastAsia="仿宋" w:cs="仿宋"/>
          <w:color w:val="auto"/>
          <w:kern w:val="2"/>
          <w:sz w:val="32"/>
          <w:szCs w:val="24"/>
        </w:rPr>
        <w:t>一、增加一条，作为第三条：“地方立法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推进莆田绿色高质量发展。”</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sz w:val="32"/>
        </w:rPr>
      </w:pPr>
      <w:r>
        <w:rPr>
          <w:rFonts w:hint="eastAsia" w:ascii="仿宋" w:hAnsi="仿宋" w:eastAsia="仿宋" w:cs="仿宋"/>
          <w:sz w:val="32"/>
        </w:rPr>
        <w:t>二、删去第四条，将第三条改为第四条，修改为：“制定地方性法规应当严格遵循立法法规定的各项基本原则，坚持科学立法、民主立法、依法立法，坚持和发展全过程人民民主，坚持法治和德治相结合，坚持在法治下推进改革和在改革中完善法治相统一。</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color w:val="auto"/>
          <w:sz w:val="32"/>
        </w:rPr>
      </w:pPr>
      <w:r>
        <w:rPr>
          <w:rFonts w:hint="eastAsia" w:ascii="仿宋" w:hAnsi="仿宋" w:eastAsia="仿宋" w:cs="仿宋"/>
          <w:sz w:val="32"/>
        </w:rPr>
        <w:t>“地方性法规应当体现地方特色，内容明确、具体，具有针对性和可执行性，</w:t>
      </w:r>
      <w:r>
        <w:rPr>
          <w:rFonts w:hint="eastAsia" w:ascii="仿宋" w:hAnsi="仿宋" w:eastAsia="仿宋" w:cs="仿宋"/>
          <w:color w:val="auto"/>
          <w:sz w:val="32"/>
        </w:rPr>
        <w:t>不得同宪法、法律、行政法规和省级地方性法规相抵触，对上位法已经明确规定的内容，一般不作重复性规定。”</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color w:val="auto"/>
          <w:sz w:val="32"/>
        </w:rPr>
      </w:pPr>
      <w:r>
        <w:rPr>
          <w:rFonts w:hint="eastAsia" w:ascii="仿宋" w:hAnsi="仿宋" w:eastAsia="仿宋" w:cs="仿宋"/>
          <w:color w:val="auto"/>
          <w:sz w:val="32"/>
        </w:rPr>
        <w:t>三、将第五条修改为：“地方立法应当坚持和完善党委领导、人大主导、政府依托、各方参与的立法工作格局。</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color w:val="auto"/>
          <w:sz w:val="32"/>
        </w:rPr>
      </w:pPr>
      <w:r>
        <w:rPr>
          <w:rFonts w:hint="eastAsia" w:ascii="仿宋" w:hAnsi="仿宋" w:eastAsia="仿宋" w:cs="仿宋"/>
          <w:sz w:val="32"/>
        </w:rPr>
        <w:t>“</w:t>
      </w:r>
      <w:r>
        <w:rPr>
          <w:rFonts w:hint="eastAsia" w:ascii="仿宋" w:hAnsi="仿宋" w:eastAsia="仿宋" w:cs="仿宋"/>
          <w:color w:val="auto"/>
          <w:sz w:val="32"/>
        </w:rPr>
        <w:t>市人民代表大会及其常务委员会应当完善立法机制，加强对地方立法工作的组织协调，发挥在地方立法工作中的主导作用。”</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sz w:val="32"/>
        </w:rPr>
      </w:pPr>
      <w:r>
        <w:rPr>
          <w:rFonts w:hint="eastAsia" w:ascii="仿宋" w:hAnsi="仿宋" w:eastAsia="仿宋" w:cs="仿宋"/>
          <w:sz w:val="32"/>
        </w:rPr>
        <w:t>四、将第六条第一款中的</w:t>
      </w:r>
      <w:r>
        <w:rPr>
          <w:rFonts w:hint="eastAsia" w:ascii="仿宋" w:hAnsi="仿宋" w:eastAsia="仿宋" w:cs="仿宋"/>
          <w:color w:val="auto"/>
          <w:kern w:val="2"/>
          <w:sz w:val="32"/>
          <w:szCs w:val="24"/>
        </w:rPr>
        <w:t>“城乡建设与管理、环境保护、历史文化保护等方面”修改为：“城乡建设与管理、生态文明建设、历史文化保护、基层治理等方面”。</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sz w:val="32"/>
          <w:szCs w:val="32"/>
        </w:rPr>
      </w:pPr>
      <w:r>
        <w:rPr>
          <w:rFonts w:hint="eastAsia" w:ascii="仿宋" w:hAnsi="仿宋" w:eastAsia="仿宋" w:cs="仿宋"/>
          <w:color w:val="auto"/>
          <w:kern w:val="2"/>
          <w:sz w:val="32"/>
          <w:szCs w:val="24"/>
        </w:rPr>
        <w:t>第二款修改为：“制定涉及本市特别重大事项以及规范市人民代表大会自身活动等的地方性法规，应当由市人民代表大会通过。”</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rPr>
        <w:t>五、将第十条</w:t>
      </w:r>
      <w:r>
        <w:rPr>
          <w:rFonts w:hint="eastAsia" w:ascii="仿宋" w:hAnsi="仿宋" w:eastAsia="仿宋" w:cs="仿宋"/>
          <w:sz w:val="32"/>
          <w:szCs w:val="32"/>
        </w:rPr>
        <w:t>第一款修改为：“常务委员会法制工作委员会应当会同有关专门委员会、常务委员会其他工作机构、市人民政府司法行政部门，在广泛征求社会各方面意见的基础上，负责编制立法规划和年度立法计划。”</w:t>
      </w:r>
    </w:p>
    <w:p>
      <w:pPr>
        <w:keepNext w:val="0"/>
        <w:keepLines w:val="0"/>
        <w:pageBreakBefore w:val="0"/>
        <w:widowControl w:val="0"/>
        <w:suppressAutoHyphens/>
        <w:kinsoku/>
        <w:wordWrap/>
        <w:overflowPunct/>
        <w:topLinePunct w:val="0"/>
        <w:bidi w:val="0"/>
        <w:snapToGrid/>
        <w:spacing w:line="240" w:lineRule="auto"/>
        <w:ind w:firstLine="632"/>
        <w:textAlignment w:val="auto"/>
        <w:rPr>
          <w:rFonts w:hint="eastAsia" w:ascii="仿宋" w:hAnsi="仿宋" w:eastAsia="仿宋" w:cs="仿宋"/>
          <w:szCs w:val="32"/>
        </w:rPr>
      </w:pPr>
      <w:r>
        <w:rPr>
          <w:rFonts w:hint="eastAsia" w:ascii="仿宋" w:hAnsi="仿宋" w:eastAsia="仿宋" w:cs="仿宋"/>
          <w:szCs w:val="32"/>
        </w:rPr>
        <w:t>第二款修改为：“立法规划、年度立法计划经常务委员会主任会议通过，印发常务委员会会议，并向社会公布。市人民政府拟提请常务委员会会议审议的立法项目应当与常务委员会立法规划、年度立法计划相衔接。市人民政府应当对立法项目的实施加强组织协调、跟踪落实。”</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四款修改为：“年度立法计划实施过程中，新增提请审议的立法项目，应当依照本条第三款规定提出立项申请、进行审查，报请主任会议决定；未提请审议的立法项目，提案人或者起草单位应当报请主任会议决定。”</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六、增加一款，作为第十二条第二款：“对涉及重大问题、社会影响面广、涉及部门较多的重要法规项目，实行立法专班机制。”</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rPr>
        <w:t>七、将第十三条修改为：“</w:t>
      </w:r>
      <w:r>
        <w:rPr>
          <w:rFonts w:hint="eastAsia" w:ascii="仿宋" w:hAnsi="仿宋" w:eastAsia="仿宋" w:cs="仿宋"/>
          <w:sz w:val="32"/>
          <w:szCs w:val="32"/>
        </w:rPr>
        <w:t>起草法规草案应当注重调研，广泛征求社会各界意见。设定行政强制、行政处罚、行政许可、行政收费以及涉及社会公众切身利益等内容的，应当通过论证会、听证会等方式公开听取意见。涉及职能调整、职责划分、预算经费等内容的，应当通过协调形成共识后作出相关规定。”</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八、增加一款，作为第十五条第二款：“有关专门委员会审议法规案的时候，可以邀请提案人列席会议，发表意见。”</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sz w:val="32"/>
        </w:rPr>
      </w:pPr>
      <w:r>
        <w:rPr>
          <w:rFonts w:hint="eastAsia" w:ascii="仿宋" w:hAnsi="仿宋" w:eastAsia="仿宋" w:cs="仿宋"/>
          <w:sz w:val="32"/>
        </w:rPr>
        <w:t>九、将第二十条第一款修改为：“常务委员会决定提请市人民代表大会会议审议的法规案，应当在会议举行前将法规草案及其说明、有关资料发给代表，并可以适时组织代表研读讨论，征求代表的意见。</w:t>
      </w:r>
      <w:r>
        <w:rPr>
          <w:rFonts w:hint="eastAsia" w:ascii="仿宋" w:hAnsi="仿宋" w:eastAsia="仿宋" w:cs="仿宋"/>
          <w:color w:val="auto"/>
          <w:kern w:val="2"/>
          <w:sz w:val="32"/>
          <w:szCs w:val="24"/>
        </w:rPr>
        <w:t>”</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sz w:val="32"/>
        </w:rPr>
      </w:pPr>
      <w:r>
        <w:rPr>
          <w:rFonts w:hint="eastAsia" w:ascii="仿宋" w:hAnsi="仿宋" w:eastAsia="仿宋" w:cs="仿宋"/>
          <w:sz w:val="32"/>
        </w:rPr>
        <w:t>十、增加一款，作为第三十条第二款：“常务委员会审议法规案时，提案人或者常务委员会有关工作机构可以根据需要对法规草案拟解决的主要问题、确立的主要制度、重大问题的协调情况等内容进行解读。”</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sz w:val="32"/>
        </w:rPr>
      </w:pPr>
      <w:r>
        <w:rPr>
          <w:rFonts w:hint="eastAsia" w:ascii="仿宋" w:hAnsi="仿宋" w:eastAsia="仿宋" w:cs="仿宋"/>
          <w:sz w:val="32"/>
        </w:rPr>
        <w:t>十一、将第三十三条第三款修改为：“法规案有关问题存在重大意见分歧或者涉及利益关系重大调整，需要进行听证的，应当召开听证会，听取有关基层和群体代表、部门、人民团体、专家、市人民代表大会代表和社会有关方面的意见，并在举行听证会十五日前将听证会的内容、对象、时间、地点等在莆田人大网或者本市的报纸等媒体上公告。听证情况应当向常务委员会报告。”</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rPr>
        <w:t>十二、将第三十七条修改为：“</w:t>
      </w:r>
      <w:r>
        <w:rPr>
          <w:rFonts w:hint="eastAsia" w:ascii="仿宋" w:hAnsi="仿宋" w:eastAsia="仿宋" w:cs="仿宋"/>
          <w:sz w:val="32"/>
          <w:szCs w:val="32"/>
        </w:rPr>
        <w:t>列入常务委员会会议审议的法规案，因各方面对制定该法规的必要性、可行性和合法性等重大问题存在较大</w:t>
      </w:r>
      <w:r>
        <w:rPr>
          <w:rFonts w:hint="eastAsia" w:ascii="仿宋" w:hAnsi="仿宋" w:eastAsia="仿宋" w:cs="仿宋"/>
          <w:sz w:val="32"/>
        </w:rPr>
        <w:t>意见</w:t>
      </w:r>
      <w:r>
        <w:rPr>
          <w:rFonts w:hint="eastAsia" w:ascii="仿宋" w:hAnsi="仿宋" w:eastAsia="仿宋" w:cs="仿宋"/>
          <w:sz w:val="32"/>
          <w:szCs w:val="32"/>
        </w:rPr>
        <w:t>分歧搁置审议满两年的，或者因暂不付表决经过两年没有再次列入常务委员会会议议程审议的，</w:t>
      </w:r>
      <w:r>
        <w:rPr>
          <w:rFonts w:hint="eastAsia" w:ascii="仿宋" w:hAnsi="仿宋" w:eastAsia="仿宋" w:cs="仿宋"/>
          <w:sz w:val="32"/>
        </w:rPr>
        <w:t>主任会议可以决定终止审议，并向常务委员会报告；必要时，主任会议也可以决定延期审议</w:t>
      </w:r>
      <w:r>
        <w:rPr>
          <w:rFonts w:hint="eastAsia" w:ascii="仿宋" w:hAnsi="仿宋" w:eastAsia="仿宋" w:cs="仿宋"/>
          <w:sz w:val="32"/>
          <w:szCs w:val="32"/>
        </w:rPr>
        <w:t>。</w:t>
      </w:r>
      <w:r>
        <w:rPr>
          <w:rFonts w:hint="eastAsia" w:ascii="仿宋" w:hAnsi="仿宋" w:eastAsia="仿宋" w:cs="仿宋"/>
          <w:sz w:val="32"/>
        </w:rPr>
        <w:t>”</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rPr>
        <w:t>十三、将第三十九条第一款修改为：“列入常务委员会会议议程的法规案，在交付表决前，常务委员会组成人员认为仍有重大问题需要进一步研究的，经主任会议决定，可以暂不付表决；或者对个别意见分歧较大的重要条款，经主任会议决定，可以单独表决。单独表决的条款经常务委员会会议表决后，主任会议根据单独表决的情况，可以决定将法规草案表决稿交付表决，也可以决定暂不付表决。”</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rPr>
        <w:t>第二款修改为“法规案暂不付表决的，由主任会议交法制委员会或者有关专门委员会进一步审议。”</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rPr>
        <w:t>十四、将第四十一条第一款修改为：“经批准的法规，由常务委员会发布公告予以公布。法规文本以及草案说明、审议结果报告等，应当及时在常务委员会公报和莆田人大网、</w:t>
      </w:r>
      <w:r>
        <w:rPr>
          <w:rFonts w:hint="eastAsia" w:ascii="仿宋" w:hAnsi="仿宋" w:eastAsia="仿宋" w:cs="仿宋"/>
          <w:sz w:val="32"/>
          <w:lang w:eastAsia="zh-CN"/>
        </w:rPr>
        <w:t>《</w:t>
      </w:r>
      <w:r>
        <w:rPr>
          <w:rFonts w:hint="eastAsia" w:ascii="仿宋" w:hAnsi="仿宋" w:eastAsia="仿宋" w:cs="仿宋"/>
          <w:sz w:val="32"/>
        </w:rPr>
        <w:t>湄洲日报</w:t>
      </w:r>
      <w:r>
        <w:rPr>
          <w:rFonts w:hint="eastAsia" w:ascii="仿宋" w:hAnsi="仿宋" w:eastAsia="仿宋" w:cs="仿宋"/>
          <w:sz w:val="32"/>
          <w:lang w:eastAsia="zh-CN"/>
        </w:rPr>
        <w:t>》</w:t>
      </w:r>
      <w:r>
        <w:rPr>
          <w:rFonts w:hint="eastAsia" w:ascii="仿宋" w:hAnsi="仿宋" w:eastAsia="仿宋" w:cs="仿宋"/>
          <w:sz w:val="32"/>
        </w:rPr>
        <w:t>等刊载。”</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rPr>
        <w:t>十五、将第四十四条修改为：“</w:t>
      </w:r>
      <w:r>
        <w:rPr>
          <w:rFonts w:hint="eastAsia" w:ascii="仿宋" w:hAnsi="仿宋" w:eastAsia="仿宋" w:cs="仿宋"/>
          <w:sz w:val="32"/>
          <w:szCs w:val="32"/>
        </w:rPr>
        <w:t>市人民政府、</w:t>
      </w:r>
      <w:r>
        <w:rPr>
          <w:rFonts w:hint="eastAsia" w:ascii="仿宋" w:hAnsi="仿宋" w:eastAsia="仿宋" w:cs="仿宋"/>
          <w:sz w:val="32"/>
        </w:rPr>
        <w:t>市监察委员会、市中级人民法院、市人民检察院、市人民代表大会专门委员会以及县（区）人民代表大会常务委员会可以向市人民代表大会常务委员</w:t>
      </w:r>
      <w:r>
        <w:rPr>
          <w:rFonts w:hint="eastAsia" w:ascii="仿宋" w:hAnsi="仿宋" w:eastAsia="仿宋" w:cs="仿宋"/>
          <w:sz w:val="32"/>
          <w:szCs w:val="32"/>
        </w:rPr>
        <w:t>会提出法规解释要求。</w:t>
      </w:r>
      <w:r>
        <w:rPr>
          <w:rFonts w:hint="eastAsia" w:ascii="仿宋" w:hAnsi="仿宋" w:eastAsia="仿宋" w:cs="仿宋"/>
          <w:sz w:val="32"/>
        </w:rPr>
        <w:t>”</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rPr>
        <w:t>十六、将第四十五条第三款修改为：“法规解释草案表决稿由常务委员会全体组成人员的过半数通过，自通过之日起十五日内报请省人民代表大会常务委员会批准。批准后，由常务委员会发布公告予以公布。”</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sz w:val="32"/>
        </w:rPr>
      </w:pPr>
      <w:r>
        <w:rPr>
          <w:rFonts w:hint="eastAsia" w:ascii="仿宋" w:hAnsi="仿宋" w:eastAsia="仿宋" w:cs="仿宋"/>
          <w:sz w:val="32"/>
        </w:rPr>
        <w:t>十七、增加一款，作为第四十七条第二款：“法规的修改和废止程序，适用本条例第三章、第四章、第五章、第六章和本章的有关规定。”</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color w:val="auto"/>
          <w:sz w:val="32"/>
        </w:rPr>
      </w:pPr>
      <w:r>
        <w:rPr>
          <w:rFonts w:hint="eastAsia" w:ascii="仿宋" w:hAnsi="仿宋" w:eastAsia="仿宋" w:cs="仿宋"/>
          <w:color w:val="auto"/>
          <w:sz w:val="32"/>
        </w:rPr>
        <w:t>十八、增加一条，作为第五十条：“常务委员会应当完善备案审查工作机制，细化审查内容，规范审查程序，综合运用依申请审查、主动审查、专项审查、移送审查和联合审查等方式，依法开展审查工作。”</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sz w:val="32"/>
        </w:rPr>
      </w:pPr>
      <w:r>
        <w:rPr>
          <w:rFonts w:hint="eastAsia" w:ascii="仿宋" w:hAnsi="仿宋" w:eastAsia="仿宋" w:cs="仿宋"/>
          <w:sz w:val="32"/>
        </w:rPr>
        <w:t>十九、将第五十条改为第五十一条，第三款修改为：“市人民政府报请备案的规章，由常务委员会法制工作委员会分送有关专门委员会和常务委员会有关工作机构进行研究、提出意见；必要时，按照备案审查有关规定送法制委员会进行审查。”</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sz w:val="32"/>
        </w:rPr>
      </w:pPr>
      <w:r>
        <w:rPr>
          <w:rFonts w:hint="eastAsia" w:ascii="仿宋" w:hAnsi="仿宋" w:eastAsia="仿宋" w:cs="仿宋"/>
          <w:sz w:val="32"/>
        </w:rPr>
        <w:t>二十、将第五十一条改为第五十二条，修改为：“市监察委员会、市中级人民法院、市人民检察院、县（区）人民代表大会常务委员会认为市人民政府规章同宪法、法律、行政法规和省级、本市地方性法规相抵触或者存在合法性问题的，可以向常务委员会书面提出进行审查的要求。</w:t>
      </w:r>
    </w:p>
    <w:p>
      <w:pPr>
        <w:keepNext w:val="0"/>
        <w:keepLines w:val="0"/>
        <w:pageBreakBefore w:val="0"/>
        <w:widowControl w:val="0"/>
        <w:suppressAutoHyphens/>
        <w:kinsoku/>
        <w:wordWrap/>
        <w:overflowPunct/>
        <w:topLinePunct w:val="0"/>
        <w:bidi w:val="0"/>
        <w:snapToGrid/>
        <w:spacing w:line="240" w:lineRule="auto"/>
        <w:ind w:firstLine="632"/>
        <w:textAlignment w:val="auto"/>
        <w:rPr>
          <w:rFonts w:hint="eastAsia" w:ascii="仿宋" w:hAnsi="仿宋" w:eastAsia="仿宋" w:cs="仿宋"/>
          <w:szCs w:val="32"/>
        </w:rPr>
      </w:pPr>
      <w:r>
        <w:rPr>
          <w:rFonts w:hint="eastAsia" w:ascii="仿宋" w:hAnsi="仿宋" w:eastAsia="仿宋" w:cs="仿宋"/>
        </w:rPr>
        <w:t>“</w:t>
      </w:r>
      <w:r>
        <w:rPr>
          <w:rFonts w:hint="eastAsia" w:ascii="仿宋" w:hAnsi="仿宋" w:eastAsia="仿宋" w:cs="仿宋"/>
          <w:szCs w:val="32"/>
        </w:rPr>
        <w:t>其他国家机关和社会团体、企业事业组织以及公民认为市人民政府规章同宪法、法律、行政法规和</w:t>
      </w:r>
      <w:r>
        <w:rPr>
          <w:rFonts w:hint="eastAsia" w:ascii="仿宋" w:hAnsi="仿宋" w:eastAsia="仿宋" w:cs="仿宋"/>
          <w:color w:val="000000"/>
          <w:kern w:val="0"/>
          <w:szCs w:val="22"/>
        </w:rPr>
        <w:t>省级、本市地方性</w:t>
      </w:r>
      <w:r>
        <w:rPr>
          <w:rFonts w:hint="eastAsia" w:ascii="仿宋" w:hAnsi="仿宋" w:eastAsia="仿宋" w:cs="仿宋"/>
          <w:szCs w:val="32"/>
        </w:rPr>
        <w:t>法规相抵触的，可以向常务委员会书面提出进行审查的建议。</w:t>
      </w:r>
    </w:p>
    <w:p>
      <w:pPr>
        <w:keepNext w:val="0"/>
        <w:keepLines w:val="0"/>
        <w:pageBreakBefore w:val="0"/>
        <w:widowControl w:val="0"/>
        <w:suppressAutoHyphens/>
        <w:kinsoku/>
        <w:wordWrap/>
        <w:overflowPunct/>
        <w:topLinePunct w:val="0"/>
        <w:bidi w:val="0"/>
        <w:snapToGrid/>
        <w:spacing w:line="240" w:lineRule="auto"/>
        <w:ind w:firstLine="632"/>
        <w:textAlignment w:val="auto"/>
        <w:rPr>
          <w:rFonts w:hint="eastAsia" w:ascii="仿宋" w:hAnsi="仿宋" w:eastAsia="仿宋" w:cs="仿宋"/>
          <w:color w:val="000000"/>
          <w:kern w:val="0"/>
          <w:szCs w:val="22"/>
        </w:rPr>
      </w:pPr>
      <w:r>
        <w:rPr>
          <w:rFonts w:hint="eastAsia" w:ascii="仿宋" w:hAnsi="仿宋" w:eastAsia="仿宋" w:cs="仿宋"/>
        </w:rPr>
        <w:t>“</w:t>
      </w:r>
      <w:r>
        <w:rPr>
          <w:rFonts w:hint="eastAsia" w:ascii="仿宋" w:hAnsi="仿宋" w:eastAsia="仿宋" w:cs="仿宋"/>
          <w:szCs w:val="32"/>
        </w:rPr>
        <w:t>常务委员会收到的审查要求和审查建议，按照备案审查有关规定办理。</w:t>
      </w:r>
      <w:r>
        <w:rPr>
          <w:rFonts w:hint="eastAsia" w:ascii="仿宋" w:hAnsi="仿宋" w:eastAsia="仿宋" w:cs="仿宋"/>
        </w:rPr>
        <w:t>”</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sz w:val="32"/>
        </w:rPr>
      </w:pPr>
      <w:r>
        <w:rPr>
          <w:rFonts w:hint="eastAsia" w:ascii="仿宋" w:hAnsi="仿宋" w:eastAsia="仿宋" w:cs="仿宋"/>
          <w:sz w:val="32"/>
        </w:rPr>
        <w:t>二十一、将第五十二条改为第五十三条，第一款修改为：“法制委员会审查认为市人民政府规章同宪法、法律、行政法规和省级、本市地方性法规相抵触或者存在合法性问题的，可以向市人民政府提出书面审查意见。市人民政府在收到书面审查意见后，应当在两个月内提出是否修改或者废止的意见，并向法制委员会反馈。”</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sz w:val="32"/>
        </w:rPr>
      </w:pPr>
      <w:r>
        <w:rPr>
          <w:rFonts w:hint="eastAsia" w:ascii="仿宋" w:hAnsi="仿宋" w:eastAsia="仿宋" w:cs="仿宋"/>
          <w:sz w:val="32"/>
        </w:rPr>
        <w:t>二十二、将第五十三条改为第五十四条，修改为：“法制委员会审查认为市人民政府规章同宪法、法律、行政法规和省级、本市地方性法规相抵触，或者存在合法性问题需要修改或者废止，而市人民政府不予修改或者废止的，应当向主任会议提出书面审查意见和予以撤销的议案、建议，由主任会议决定提请常务委员会会议审议决定。”</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color w:val="auto"/>
          <w:sz w:val="32"/>
        </w:rPr>
      </w:pPr>
      <w:r>
        <w:rPr>
          <w:rFonts w:hint="eastAsia" w:ascii="仿宋" w:hAnsi="仿宋" w:eastAsia="仿宋" w:cs="仿宋"/>
          <w:color w:val="auto"/>
          <w:sz w:val="32"/>
        </w:rPr>
        <w:t>二十三、增加一条，作为第五十七条：“市人民代表大会及其常务委员会根据区域协调发展的需要，可以与有关设区的市人民代表大会及其常务委员会协同制定地方性法规，在本行政区域或者有关区域内实施。”</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color w:val="auto"/>
          <w:sz w:val="32"/>
        </w:rPr>
      </w:pPr>
      <w:r>
        <w:rPr>
          <w:rFonts w:hint="eastAsia" w:ascii="仿宋" w:hAnsi="仿宋" w:eastAsia="仿宋" w:cs="仿宋"/>
          <w:color w:val="auto"/>
          <w:sz w:val="32"/>
        </w:rPr>
        <w:t>二十四、增加一条，作为第五十八条：“常务委员会可以选取调整对象具体、法律关系清晰、便于操作执行等的立法事项，以不分章节、短小精悍、务实管用的‘小切口’形式进行专门立法。”</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color w:val="auto"/>
          <w:sz w:val="32"/>
        </w:rPr>
      </w:pPr>
      <w:r>
        <w:rPr>
          <w:rFonts w:hint="eastAsia" w:ascii="仿宋" w:hAnsi="仿宋" w:eastAsia="仿宋" w:cs="仿宋"/>
          <w:color w:val="auto"/>
          <w:sz w:val="32"/>
        </w:rPr>
        <w:t>二十五、增加一条，作为第五十九条：“常务委员会根据实际需要设立基层立法联系点，建立完善联系与指导机制，深入听取基层群众和有关方面对法规草案和立法工作的意见。</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color w:val="auto"/>
          <w:sz w:val="32"/>
        </w:rPr>
      </w:pPr>
      <w:r>
        <w:rPr>
          <w:rFonts w:hint="eastAsia" w:ascii="仿宋" w:hAnsi="仿宋" w:eastAsia="仿宋" w:cs="仿宋"/>
          <w:sz w:val="32"/>
        </w:rPr>
        <w:t>“</w:t>
      </w:r>
      <w:r>
        <w:rPr>
          <w:rFonts w:hint="eastAsia" w:ascii="仿宋" w:hAnsi="仿宋" w:eastAsia="仿宋" w:cs="仿宋"/>
          <w:color w:val="auto"/>
          <w:sz w:val="32"/>
        </w:rPr>
        <w:t>常务委员会聘请立法咨询专家，发挥其专业优势，为地方立法提供智力支持和咨询服务。”</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二十六、</w:t>
      </w:r>
      <w:r>
        <w:rPr>
          <w:rFonts w:hint="eastAsia" w:ascii="仿宋" w:hAnsi="仿宋" w:eastAsia="仿宋" w:cs="仿宋"/>
          <w:color w:val="auto"/>
          <w:sz w:val="32"/>
        </w:rPr>
        <w:t>增加一条，作为</w:t>
      </w:r>
      <w:r>
        <w:rPr>
          <w:rFonts w:hint="eastAsia" w:ascii="仿宋" w:hAnsi="仿宋" w:eastAsia="仿宋" w:cs="仿宋"/>
          <w:kern w:val="2"/>
          <w:sz w:val="32"/>
          <w:szCs w:val="32"/>
        </w:rPr>
        <w:t>第六十条：“常务委员会工作机构加强立法宣传工作，通过多种形式发布立法信息、介绍情况、回应关切。</w:t>
      </w:r>
    </w:p>
    <w:p>
      <w:pPr>
        <w:pStyle w:val="4"/>
        <w:keepNext w:val="0"/>
        <w:keepLines w:val="0"/>
        <w:pageBreakBefore w:val="0"/>
        <w:widowControl w:val="0"/>
        <w:kinsoku/>
        <w:wordWrap/>
        <w:overflowPunct/>
        <w:topLinePunct w:val="0"/>
        <w:bidi w:val="0"/>
        <w:snapToGrid/>
        <w:spacing w:line="240" w:lineRule="auto"/>
        <w:ind w:firstLine="632"/>
        <w:textAlignment w:val="auto"/>
        <w:rPr>
          <w:rFonts w:hint="eastAsia" w:ascii="仿宋" w:hAnsi="仿宋" w:eastAsia="仿宋" w:cs="仿宋"/>
          <w:szCs w:val="32"/>
        </w:rPr>
      </w:pPr>
      <w:r>
        <w:rPr>
          <w:rFonts w:hint="eastAsia" w:ascii="仿宋" w:hAnsi="仿宋" w:eastAsia="仿宋" w:cs="仿宋"/>
        </w:rPr>
        <w:t>“</w:t>
      </w:r>
      <w:r>
        <w:rPr>
          <w:rFonts w:hint="eastAsia" w:ascii="仿宋" w:hAnsi="仿宋" w:eastAsia="仿宋" w:cs="仿宋"/>
          <w:color w:val="000000"/>
          <w:szCs w:val="32"/>
        </w:rPr>
        <w:t>市人民政府应当加强法规的宣传，根据需要，可以在法规获得省人民代表大会常务委员会批准后，召开新闻发布会，组织法规起草单位和法规涉及的职能部门主要负责人发布新闻。”</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kern w:val="2"/>
          <w:sz w:val="32"/>
          <w:szCs w:val="32"/>
        </w:rPr>
      </w:pPr>
      <w:r>
        <w:rPr>
          <w:rFonts w:hint="eastAsia" w:ascii="仿宋" w:hAnsi="仿宋" w:eastAsia="仿宋" w:cs="仿宋"/>
          <w:color w:val="auto"/>
          <w:sz w:val="32"/>
        </w:rPr>
        <w:t>二十七、</w:t>
      </w:r>
      <w:r>
        <w:rPr>
          <w:rFonts w:hint="eastAsia" w:ascii="仿宋" w:hAnsi="仿宋" w:eastAsia="仿宋" w:cs="仿宋"/>
          <w:kern w:val="2"/>
          <w:sz w:val="32"/>
          <w:szCs w:val="32"/>
        </w:rPr>
        <w:t>对部分条文中的有关表述作以下修改：</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sz w:val="32"/>
        </w:rPr>
      </w:pPr>
      <w:r>
        <w:rPr>
          <w:rFonts w:hint="eastAsia" w:ascii="仿宋" w:hAnsi="仿宋" w:eastAsia="仿宋" w:cs="仿宋"/>
          <w:sz w:val="32"/>
        </w:rPr>
        <w:t>（一）将第一条中的“保障地方立法质量”修改为“提高地方立法质量和效率”，</w:t>
      </w:r>
      <w:r>
        <w:rPr>
          <w:rFonts w:hint="eastAsia" w:ascii="仿宋" w:hAnsi="仿宋" w:eastAsia="仿宋" w:cs="仿宋"/>
          <w:sz w:val="32"/>
          <w:lang w:eastAsia="zh-CN"/>
        </w:rPr>
        <w:t>在</w:t>
      </w:r>
      <w:r>
        <w:rPr>
          <w:rFonts w:hint="eastAsia" w:ascii="仿宋" w:hAnsi="仿宋" w:eastAsia="仿宋" w:cs="仿宋"/>
          <w:sz w:val="32"/>
        </w:rPr>
        <w:t>“《中华人民共和国立法法》</w:t>
      </w:r>
      <w:r>
        <w:rPr>
          <w:rFonts w:hint="eastAsia" w:ascii="仿宋" w:hAnsi="仿宋" w:eastAsia="仿宋" w:cs="仿宋"/>
          <w:sz w:val="32"/>
          <w:lang w:eastAsia="zh-CN"/>
        </w:rPr>
        <w:t>、</w:t>
      </w:r>
      <w:r>
        <w:rPr>
          <w:rFonts w:hint="eastAsia" w:ascii="仿宋" w:hAnsi="仿宋" w:eastAsia="仿宋" w:cs="仿宋"/>
          <w:sz w:val="32"/>
        </w:rPr>
        <w:t>”后增加“《中华人民共和国地方各级人民代表大会和地方各级人民政府组织法》</w:t>
      </w:r>
      <w:r>
        <w:rPr>
          <w:rFonts w:hint="eastAsia" w:ascii="仿宋" w:hAnsi="仿宋" w:eastAsia="仿宋" w:cs="仿宋"/>
          <w:sz w:val="32"/>
          <w:lang w:eastAsia="zh-CN"/>
        </w:rPr>
        <w:t>、</w:t>
      </w:r>
      <w:r>
        <w:rPr>
          <w:rFonts w:hint="eastAsia" w:ascii="仿宋" w:hAnsi="仿宋" w:eastAsia="仿宋" w:cs="仿宋"/>
          <w:sz w:val="32"/>
        </w:rPr>
        <w:t>”。</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color w:val="auto"/>
          <w:sz w:val="32"/>
        </w:rPr>
      </w:pPr>
      <w:r>
        <w:rPr>
          <w:rFonts w:hint="eastAsia" w:ascii="仿宋" w:hAnsi="仿宋" w:eastAsia="仿宋" w:cs="仿宋"/>
          <w:color w:val="auto"/>
          <w:sz w:val="32"/>
        </w:rPr>
        <w:t>（二）将第八条中的“提高立法的及时性、针对性和系统性”修改为“增强立法的系统性、整体性、协同性、时效性”。</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color w:val="auto"/>
          <w:sz w:val="32"/>
        </w:rPr>
      </w:pPr>
      <w:r>
        <w:rPr>
          <w:rFonts w:hint="eastAsia" w:ascii="仿宋" w:hAnsi="仿宋" w:eastAsia="仿宋" w:cs="仿宋"/>
          <w:color w:val="auto"/>
          <w:sz w:val="32"/>
        </w:rPr>
        <w:t>（三）在第十一条中的“明确法规需要重点解决的问题和拟提请常务委员会会议审议的时间”后增加“，督促落实年度立法计划”。</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color w:val="auto"/>
          <w:sz w:val="32"/>
        </w:rPr>
      </w:pPr>
      <w:r>
        <w:rPr>
          <w:rFonts w:hint="eastAsia" w:ascii="仿宋" w:hAnsi="仿宋" w:eastAsia="仿宋" w:cs="仿宋"/>
          <w:color w:val="auto"/>
          <w:sz w:val="32"/>
        </w:rPr>
        <w:t>（四）删去第十五条中的“一个代表团或者”，将本条中的“，或者先交市人民代表大会法制委员会”修改为“；或者先交有关专门委员会”，在本条中的“再决定是否列入会议议程”后增加“。主席团决定不列入会议议程的，交常务委员会或者有关专门委员会在闭会后审议”。</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color w:val="auto"/>
          <w:sz w:val="32"/>
        </w:rPr>
      </w:pPr>
      <w:r>
        <w:rPr>
          <w:rFonts w:hint="eastAsia" w:ascii="仿宋" w:hAnsi="仿宋" w:eastAsia="仿宋" w:cs="仿宋"/>
          <w:color w:val="auto"/>
          <w:sz w:val="32"/>
        </w:rPr>
        <w:t>（五）将第十七条、第十八条中的“或决定”修改为“也可以”，将“法制委员会”修改为“有关专门委员会”。</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color w:val="auto"/>
          <w:sz w:val="32"/>
        </w:rPr>
      </w:pPr>
      <w:r>
        <w:rPr>
          <w:rFonts w:hint="eastAsia" w:ascii="仿宋" w:hAnsi="仿宋" w:eastAsia="仿宋" w:cs="仿宋"/>
          <w:color w:val="auto"/>
          <w:sz w:val="32"/>
        </w:rPr>
        <w:t>（六）在第十九条中的“以及起草过程中”前增加“涉及合法性问题的相关意见”。</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color w:val="auto"/>
          <w:sz w:val="32"/>
        </w:rPr>
      </w:pPr>
      <w:r>
        <w:rPr>
          <w:rFonts w:hint="eastAsia" w:ascii="仿宋" w:hAnsi="仿宋" w:eastAsia="仿宋" w:cs="仿宋"/>
          <w:color w:val="auto"/>
          <w:sz w:val="32"/>
        </w:rPr>
        <w:t>（七）在第二十三条、第三十二条第一款中的“重要的不同意见”前增加“涉及的合法性问题以及”。</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color w:val="auto"/>
          <w:sz w:val="32"/>
        </w:rPr>
      </w:pPr>
      <w:r>
        <w:rPr>
          <w:rFonts w:hint="eastAsia" w:ascii="仿宋" w:hAnsi="仿宋" w:eastAsia="仿宋" w:cs="仿宋"/>
          <w:sz w:val="32"/>
        </w:rPr>
        <w:t>（八）将第二十八条中的“</w:t>
      </w:r>
      <w:r>
        <w:rPr>
          <w:rFonts w:hint="eastAsia" w:ascii="仿宋" w:hAnsi="仿宋" w:eastAsia="仿宋" w:cs="仿宋"/>
          <w:sz w:val="32"/>
          <w:szCs w:val="32"/>
        </w:rPr>
        <w:t>修改、废止、解释的法规案</w:t>
      </w:r>
      <w:r>
        <w:rPr>
          <w:rFonts w:hint="eastAsia" w:ascii="仿宋" w:hAnsi="仿宋" w:eastAsia="仿宋" w:cs="仿宋"/>
          <w:sz w:val="32"/>
        </w:rPr>
        <w:t>”修改为</w:t>
      </w:r>
      <w:r>
        <w:rPr>
          <w:rFonts w:hint="eastAsia" w:ascii="仿宋" w:hAnsi="仿宋" w:eastAsia="仿宋" w:cs="仿宋"/>
          <w:sz w:val="32"/>
          <w:szCs w:val="32"/>
        </w:rPr>
        <w:t>“部分修改、废止的法规案</w:t>
      </w:r>
      <w:r>
        <w:rPr>
          <w:rFonts w:hint="eastAsia" w:ascii="仿宋" w:hAnsi="仿宋" w:eastAsia="仿宋" w:cs="仿宋"/>
          <w:sz w:val="32"/>
        </w:rPr>
        <w:t>”，在本条中的“各方面意见比较一致”后增加“，或者遇有紧急情形”。</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color w:val="auto"/>
          <w:sz w:val="32"/>
        </w:rPr>
      </w:pPr>
      <w:r>
        <w:rPr>
          <w:rFonts w:hint="eastAsia" w:ascii="仿宋" w:hAnsi="仿宋" w:eastAsia="仿宋" w:cs="仿宋"/>
          <w:sz w:val="32"/>
          <w:szCs w:val="32"/>
        </w:rPr>
        <w:t>（九）删去第二十九条第四款。</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color w:val="auto"/>
          <w:sz w:val="32"/>
        </w:rPr>
      </w:pPr>
      <w:r>
        <w:rPr>
          <w:rFonts w:hint="eastAsia" w:ascii="仿宋" w:hAnsi="仿宋" w:eastAsia="仿宋" w:cs="仿宋"/>
          <w:color w:val="auto"/>
          <w:sz w:val="32"/>
        </w:rPr>
        <w:t>（十）将第三十一条中的“参加会议”修改为“参加”。</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rPr>
        <w:t>（十一）删去第三十四条中的“在常务委员会会议后”、“</w:t>
      </w:r>
      <w:r>
        <w:rPr>
          <w:rFonts w:hint="eastAsia" w:ascii="仿宋" w:hAnsi="仿宋" w:eastAsia="仿宋" w:cs="仿宋"/>
          <w:sz w:val="32"/>
          <w:szCs w:val="32"/>
        </w:rPr>
        <w:t>征求意见的时间一般不少于三十日</w:t>
      </w:r>
      <w:r>
        <w:rPr>
          <w:rFonts w:hint="eastAsia" w:ascii="仿宋" w:hAnsi="仿宋" w:eastAsia="仿宋" w:cs="仿宋"/>
          <w:color w:val="auto"/>
          <w:sz w:val="32"/>
        </w:rPr>
        <w:t>”前的“向社会公布”，将本条中的“</w:t>
      </w:r>
      <w:r>
        <w:rPr>
          <w:rFonts w:hint="eastAsia" w:ascii="仿宋" w:hAnsi="仿宋" w:eastAsia="仿宋" w:cs="仿宋"/>
          <w:color w:val="auto"/>
          <w:sz w:val="32"/>
          <w:szCs w:val="32"/>
        </w:rPr>
        <w:t>本市</w:t>
      </w:r>
      <w:r>
        <w:rPr>
          <w:rFonts w:hint="eastAsia" w:ascii="仿宋" w:hAnsi="仿宋" w:eastAsia="仿宋" w:cs="仿宋"/>
          <w:color w:val="auto"/>
          <w:sz w:val="32"/>
        </w:rPr>
        <w:t>范围内发行</w:t>
      </w:r>
      <w:r>
        <w:rPr>
          <w:rFonts w:hint="eastAsia" w:ascii="仿宋" w:hAnsi="仿宋" w:eastAsia="仿宋" w:cs="仿宋"/>
          <w:color w:val="auto"/>
          <w:sz w:val="32"/>
          <w:szCs w:val="32"/>
        </w:rPr>
        <w:t>的报纸</w:t>
      </w:r>
      <w:r>
        <w:rPr>
          <w:rFonts w:hint="eastAsia" w:ascii="仿宋" w:hAnsi="仿宋" w:eastAsia="仿宋" w:cs="仿宋"/>
          <w:color w:val="auto"/>
          <w:sz w:val="32"/>
        </w:rPr>
        <w:t>”修改为“</w:t>
      </w:r>
      <w:r>
        <w:rPr>
          <w:rFonts w:hint="eastAsia" w:ascii="仿宋" w:hAnsi="仿宋" w:eastAsia="仿宋" w:cs="仿宋"/>
          <w:color w:val="auto"/>
          <w:sz w:val="32"/>
          <w:szCs w:val="32"/>
        </w:rPr>
        <w:t>本市的报纸等媒体</w:t>
      </w:r>
      <w:r>
        <w:rPr>
          <w:rFonts w:hint="eastAsia" w:ascii="仿宋" w:hAnsi="仿宋" w:eastAsia="仿宋" w:cs="仿宋"/>
          <w:color w:val="auto"/>
          <w:sz w:val="32"/>
        </w:rPr>
        <w:t>”。</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（十二）删去第四十条中的“福建”。</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color w:val="auto"/>
          <w:sz w:val="32"/>
        </w:rPr>
      </w:pPr>
      <w:r>
        <w:rPr>
          <w:rFonts w:hint="eastAsia" w:ascii="仿宋" w:hAnsi="仿宋" w:eastAsia="仿宋" w:cs="仿宋"/>
          <w:color w:val="auto"/>
          <w:sz w:val="32"/>
        </w:rPr>
        <w:t>（十三）将第四十五条第一款中的“常务委员会法制工作委员会会同常务委员会有关工作机构”修改为“专门委员会、常务委员会工作机构”。</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color w:val="auto"/>
          <w:sz w:val="32"/>
        </w:rPr>
      </w:pPr>
      <w:r>
        <w:rPr>
          <w:rFonts w:hint="eastAsia" w:ascii="仿宋" w:hAnsi="仿宋" w:eastAsia="仿宋" w:cs="仿宋"/>
          <w:color w:val="auto"/>
          <w:sz w:val="32"/>
        </w:rPr>
        <w:t>（十四）将第四十八条第二款中的“法制委员会”修改为“有关专门委员会”。</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sz w:val="32"/>
          <w:szCs w:val="32"/>
        </w:rPr>
      </w:pPr>
      <w:r>
        <w:rPr>
          <w:rFonts w:hint="eastAsia" w:ascii="仿宋" w:hAnsi="仿宋" w:eastAsia="仿宋" w:cs="仿宋"/>
          <w:color w:val="auto"/>
          <w:sz w:val="32"/>
        </w:rPr>
        <w:t>（十五）将第五十五条改为第五十六条，在本条中的“</w:t>
      </w:r>
      <w:r>
        <w:rPr>
          <w:rFonts w:hint="eastAsia" w:ascii="仿宋" w:hAnsi="仿宋" w:eastAsia="仿宋" w:cs="仿宋"/>
          <w:sz w:val="32"/>
          <w:szCs w:val="32"/>
        </w:rPr>
        <w:t>法制委员会和有关专门委员会</w:t>
      </w:r>
      <w:r>
        <w:rPr>
          <w:rFonts w:hint="eastAsia" w:ascii="仿宋" w:hAnsi="仿宋" w:eastAsia="仿宋" w:cs="仿宋"/>
          <w:color w:val="auto"/>
          <w:sz w:val="32"/>
        </w:rPr>
        <w:t>”后增加“、常务委员会有关工作机构”，删去本条中的“，并可以向社会公开”。</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color w:val="auto"/>
          <w:sz w:val="32"/>
        </w:rPr>
      </w:pPr>
      <w:r>
        <w:rPr>
          <w:rFonts w:hint="eastAsia" w:ascii="仿宋" w:hAnsi="仿宋" w:eastAsia="仿宋" w:cs="仿宋"/>
          <w:sz w:val="32"/>
          <w:szCs w:val="32"/>
        </w:rPr>
        <w:t>（十六）将</w:t>
      </w:r>
      <w:r>
        <w:rPr>
          <w:rFonts w:hint="eastAsia" w:ascii="仿宋" w:hAnsi="仿宋" w:eastAsia="仿宋" w:cs="仿宋"/>
          <w:color w:val="auto"/>
          <w:sz w:val="32"/>
        </w:rPr>
        <w:t>第五十八条改</w:t>
      </w:r>
      <w:r>
        <w:rPr>
          <w:rFonts w:hint="eastAsia" w:ascii="仿宋" w:hAnsi="仿宋" w:eastAsia="仿宋" w:cs="仿宋"/>
          <w:sz w:val="32"/>
          <w:szCs w:val="32"/>
        </w:rPr>
        <w:t>为第六十三条，在本条第一款中的“书面报告”前增加</w:t>
      </w:r>
      <w:r>
        <w:rPr>
          <w:rFonts w:hint="eastAsia" w:ascii="仿宋" w:hAnsi="仿宋" w:eastAsia="仿宋" w:cs="仿宋"/>
          <w:color w:val="auto"/>
          <w:sz w:val="32"/>
        </w:rPr>
        <w:t>“作”。</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color w:val="auto"/>
          <w:sz w:val="32"/>
        </w:rPr>
      </w:pPr>
      <w:r>
        <w:rPr>
          <w:rFonts w:hint="eastAsia" w:ascii="仿宋" w:hAnsi="仿宋" w:eastAsia="仿宋" w:cs="仿宋"/>
          <w:color w:val="auto"/>
          <w:sz w:val="32"/>
        </w:rPr>
        <w:t>（十七）增加一章“其他规定”，作为第十章，将“第十章附则”修改为“第十一章附则”。</w:t>
      </w:r>
    </w:p>
    <w:p>
      <w:pPr>
        <w:pStyle w:val="14"/>
        <w:keepNext w:val="0"/>
        <w:keepLines w:val="0"/>
        <w:pageBreakBefore w:val="0"/>
        <w:widowControl w:val="0"/>
        <w:kinsoku/>
        <w:wordWrap/>
        <w:overflowPunct/>
        <w:topLinePunct w:val="0"/>
        <w:bidi w:val="0"/>
        <w:snapToGrid/>
        <w:spacing w:line="240" w:lineRule="auto"/>
        <w:ind w:firstLine="632" w:firstLineChars="200"/>
        <w:jc w:val="both"/>
        <w:textAlignment w:val="auto"/>
        <w:rPr>
          <w:rFonts w:hint="eastAsia" w:ascii="仿宋" w:hAnsi="仿宋" w:eastAsia="仿宋" w:cs="仿宋"/>
          <w:color w:val="auto"/>
          <w:sz w:val="32"/>
        </w:rPr>
      </w:pPr>
      <w:r>
        <w:rPr>
          <w:rFonts w:hint="eastAsia" w:ascii="仿宋" w:hAnsi="仿宋" w:eastAsia="仿宋" w:cs="仿宋"/>
          <w:color w:val="auto"/>
          <w:sz w:val="32"/>
        </w:rPr>
        <w:t>（十八）将第五十七条至第六十四条调到第十章。</w:t>
      </w:r>
    </w:p>
    <w:p>
      <w:pPr>
        <w:keepNext w:val="0"/>
        <w:keepLines w:val="0"/>
        <w:pageBreakBefore w:val="0"/>
        <w:widowControl w:val="0"/>
        <w:kinsoku/>
        <w:wordWrap/>
        <w:overflowPunct/>
        <w:topLinePunct w:val="0"/>
        <w:bidi w:val="0"/>
        <w:snapToGrid/>
        <w:spacing w:line="240" w:lineRule="auto"/>
        <w:ind w:firstLine="632"/>
        <w:textAlignment w:val="auto"/>
        <w:rPr>
          <w:rFonts w:hint="eastAsia" w:ascii="仿宋" w:hAnsi="仿宋" w:eastAsia="仿宋" w:cs="仿宋"/>
        </w:rPr>
      </w:pPr>
      <w:r>
        <w:rPr>
          <w:rFonts w:hint="eastAsia" w:ascii="仿宋" w:hAnsi="仿宋" w:eastAsia="仿宋" w:cs="仿宋"/>
        </w:rPr>
        <w:t xml:space="preserve">本决定自公布之日起施行。 </w:t>
      </w:r>
    </w:p>
    <w:p>
      <w:pPr>
        <w:keepNext w:val="0"/>
        <w:keepLines w:val="0"/>
        <w:pageBreakBefore w:val="0"/>
        <w:widowControl w:val="0"/>
        <w:kinsoku/>
        <w:wordWrap/>
        <w:overflowPunct/>
        <w:topLinePunct w:val="0"/>
        <w:bidi w:val="0"/>
        <w:snapToGrid/>
        <w:spacing w:line="240" w:lineRule="auto"/>
        <w:ind w:firstLine="632"/>
        <w:textAlignment w:val="auto"/>
        <w:rPr>
          <w:rFonts w:hint="default" w:ascii="仿宋" w:hAnsi="仿宋" w:eastAsia="仿宋" w:cs="仿宋"/>
          <w:lang w:val="en-US" w:eastAsia="zh-CN"/>
        </w:rPr>
      </w:pPr>
      <w:r>
        <w:rPr>
          <w:rFonts w:hint="eastAsia" w:ascii="仿宋" w:hAnsi="仿宋" w:eastAsia="仿宋" w:cs="仿宋"/>
        </w:rPr>
        <w:t>《莆田市人民代表大会及其常务委员会立法条例》根据本决定作相应修改并对条文顺序作相应调整，重新公布。</w:t>
      </w:r>
    </w:p>
    <w:sectPr>
      <w:footerReference r:id="rId3" w:type="default"/>
      <w:footerReference r:id="rId4" w:type="even"/>
      <w:pgSz w:w="11906" w:h="16838"/>
      <w:pgMar w:top="2098" w:right="1474" w:bottom="1928" w:left="1587" w:header="851" w:footer="1587" w:gutter="0"/>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Batang">
    <w:altName w:val="宋体"/>
    <w:panose1 w:val="02030600000101010101"/>
    <w:charset w:val="81"/>
    <w:family w:val="roman"/>
    <w:pitch w:val="default"/>
    <w:sig w:usb0="00000000" w:usb1="00000000" w:usb2="00000030" w:usb3="00000000" w:csb0="4008009F" w:csb1="DFD7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hint="eastAsia" w:eastAsia="宋体"/>
        <w:lang w:eastAsia="zh-CN"/>
      </w:rPr>
    </w:pPr>
    <w:r>
      <mc:AlternateContent>
        <mc:Choice Requires="wps">
          <w:drawing>
            <wp:anchor distT="0" distB="0" distL="114300" distR="114300" simplePos="0" relativeHeight="251659264" behindDoc="0" locked="0" layoutInCell="1" allowOverlap="1">
              <wp:simplePos x="0" y="0"/>
              <wp:positionH relativeFrom="margin">
                <wp:posOffset>4910455</wp:posOffset>
              </wp:positionH>
              <wp:positionV relativeFrom="paragraph">
                <wp:posOffset>0</wp:posOffset>
              </wp:positionV>
              <wp:extent cx="70612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06120" cy="1828800"/>
                      </a:xfrm>
                      <a:prstGeom prst="rect">
                        <a:avLst/>
                      </a:prstGeom>
                      <a:noFill/>
                      <a:ln>
                        <a:noFill/>
                      </a:ln>
                    </wps:spPr>
                    <wps:txbx>
                      <w:txbxContent>
                        <w:p>
                          <w:pPr>
                            <w:pStyle w:val="6"/>
                            <w:wordWrap w:val="0"/>
                            <w:jc w:val="right"/>
                            <w:rPr>
                              <w:rFonts w:hint="default" w:eastAsia="仿宋_GB2312"/>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ascii="宋体" w:hAnsi="宋体" w:eastAsia="宋体" w:cs="宋体"/>
                              <w:sz w:val="28"/>
                              <w:szCs w:val="28"/>
                              <w:lang w:eastAsia="zh-CN"/>
                            </w:rPr>
                            <w:t>- 13 -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a:spAutoFit/>
                    </wps:bodyPr>
                  </wps:wsp>
                </a:graphicData>
              </a:graphic>
            </wp:anchor>
          </w:drawing>
        </mc:Choice>
        <mc:Fallback>
          <w:pict>
            <v:shape id="_x0000_s1026" o:spid="_x0000_s1026" o:spt="202" type="#_x0000_t202" style="position:absolute;left:0pt;margin-left:386.65pt;margin-top:0pt;height:144pt;width:55.6pt;mso-position-horizontal-relative:margin;z-index:251659264;mso-width-relative:page;mso-height-relative:page;" filled="f" stroked="f" coordsize="21600,21600" o:gfxdata="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jcJUFdYAAAAIAQAADwAAAAAA&#10;AAABACAAAAA4AAAAZHJzL2Rvd25yZXYueG1sUEsBAhQAFAAAAAgAh07iQHypVVXGAQAAjAMAAA4A&#10;AAAAAAAAAQAgAAAAOwEAAGRycy9lMm9Eb2MueG1sUEsFBgAAAAAGAAYAWQEAAHMFAAAAAA==&#10;">
              <v:fill on="f" focussize="0,0"/>
              <v:stroke on="f"/>
              <v:imagedata o:title=""/>
              <o:lock v:ext="edit" aspectratio="f"/>
              <v:textbox inset="0mm,0mm,0mm,0mm" style="mso-fit-shape-to-text:t;">
                <w:txbxContent>
                  <w:p>
                    <w:pPr>
                      <w:pStyle w:val="6"/>
                      <w:wordWrap w:val="0"/>
                      <w:jc w:val="right"/>
                      <w:rPr>
                        <w:rFonts w:hint="default" w:eastAsia="仿宋_GB2312"/>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ascii="宋体" w:hAnsi="宋体" w:eastAsia="宋体" w:cs="宋体"/>
                        <w:sz w:val="28"/>
                        <w:szCs w:val="28"/>
                        <w:lang w:eastAsia="zh-CN"/>
                      </w:rPr>
                      <w:t>- 13 -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仿宋_GB2312"/>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ascii="宋体" w:hAnsi="宋体" w:eastAsia="宋体" w:cs="宋体"/>
                              <w:sz w:val="28"/>
                              <w:szCs w:val="28"/>
                              <w:lang w:eastAsia="zh-CN"/>
                            </w:rPr>
                            <w:t>- 14 -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RflCbJAQAAmQMAAA4AAABkcnMv&#10;ZTJvRG9jLnhtbK1TzY7TMBC+I/EOlu/U2WqF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1F+UJskBAACZAwAADgAAAAAA&#10;AAABACAAAAA0AQAAZHJzL2Uyb0RvYy54bWxQSwUGAAAAAAYABgBZAQAAbwUAAAAA&#10;">
              <v:fill on="f" focussize="0,0"/>
              <v:stroke on="f"/>
              <v:imagedata o:title=""/>
              <o:lock v:ext="edit" aspectratio="f"/>
              <v:textbox inset="0mm,0mm,0mm,0mm" style="mso-fit-shape-to-text:t;">
                <w:txbxContent>
                  <w:p>
                    <w:pPr>
                      <w:pStyle w:val="6"/>
                      <w:rPr>
                        <w:rFonts w:hint="eastAsia" w:eastAsia="仿宋_GB2312"/>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ascii="宋体" w:hAnsi="宋体" w:eastAsia="宋体" w:cs="宋体"/>
                        <w:sz w:val="28"/>
                        <w:szCs w:val="28"/>
                        <w:lang w:eastAsia="zh-CN"/>
                      </w:rPr>
                      <w:t>- 14 -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evenAndOddHeaders w:val="1"/>
  <w:drawingGridHorizontalSpacing w:val="158"/>
  <w:drawingGridVerticalSpacing w:val="290"/>
  <w:displayHorizontalDrawingGridEvery w:val="0"/>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iOGJjNzRjMzc1NTNhNTkyOGY1NTEzNDlhYmU5YjYifQ=="/>
  </w:docVars>
  <w:rsids>
    <w:rsidRoot w:val="685721A6"/>
    <w:rsid w:val="0EF02976"/>
    <w:rsid w:val="0EFF135E"/>
    <w:rsid w:val="0FC75D10"/>
    <w:rsid w:val="12501052"/>
    <w:rsid w:val="15D5D7CF"/>
    <w:rsid w:val="1B1C0C9F"/>
    <w:rsid w:val="1CF65AB3"/>
    <w:rsid w:val="1FF78F34"/>
    <w:rsid w:val="226B3CD6"/>
    <w:rsid w:val="248866F4"/>
    <w:rsid w:val="279F8CA2"/>
    <w:rsid w:val="27BFF2C2"/>
    <w:rsid w:val="2ACC0C99"/>
    <w:rsid w:val="2F8BD09D"/>
    <w:rsid w:val="30617EB1"/>
    <w:rsid w:val="367670FD"/>
    <w:rsid w:val="377F3029"/>
    <w:rsid w:val="37E71EAF"/>
    <w:rsid w:val="3B1F2E77"/>
    <w:rsid w:val="3B77ABDE"/>
    <w:rsid w:val="3C8C625D"/>
    <w:rsid w:val="3E50726E"/>
    <w:rsid w:val="3E731B60"/>
    <w:rsid w:val="490769E0"/>
    <w:rsid w:val="4BB59433"/>
    <w:rsid w:val="4D05430B"/>
    <w:rsid w:val="4EED2C1B"/>
    <w:rsid w:val="4F6A47C2"/>
    <w:rsid w:val="4FFB4609"/>
    <w:rsid w:val="4FFFFE31"/>
    <w:rsid w:val="51BB11B3"/>
    <w:rsid w:val="53F37A8A"/>
    <w:rsid w:val="540E1646"/>
    <w:rsid w:val="55E7FE35"/>
    <w:rsid w:val="57FDD81A"/>
    <w:rsid w:val="595B10A0"/>
    <w:rsid w:val="5AA31211"/>
    <w:rsid w:val="5B2E3AA6"/>
    <w:rsid w:val="5B5B4DE0"/>
    <w:rsid w:val="5C714EC3"/>
    <w:rsid w:val="5D3A8DF5"/>
    <w:rsid w:val="5DB79E5C"/>
    <w:rsid w:val="5E7346CC"/>
    <w:rsid w:val="5E7F93C4"/>
    <w:rsid w:val="5F7DD761"/>
    <w:rsid w:val="5FEF02A3"/>
    <w:rsid w:val="5FF736FB"/>
    <w:rsid w:val="61BF1B54"/>
    <w:rsid w:val="6339D565"/>
    <w:rsid w:val="685721A6"/>
    <w:rsid w:val="699A04DC"/>
    <w:rsid w:val="6CB7432E"/>
    <w:rsid w:val="6D4B3450"/>
    <w:rsid w:val="6F7E454E"/>
    <w:rsid w:val="6F7FEBD3"/>
    <w:rsid w:val="6F930DAD"/>
    <w:rsid w:val="6FCF4FD1"/>
    <w:rsid w:val="6FDB81EA"/>
    <w:rsid w:val="6FDF8239"/>
    <w:rsid w:val="6FFB6B5B"/>
    <w:rsid w:val="6FFDEDE8"/>
    <w:rsid w:val="70875DB2"/>
    <w:rsid w:val="71AF66FE"/>
    <w:rsid w:val="732A2590"/>
    <w:rsid w:val="75BC6C26"/>
    <w:rsid w:val="772A8AAF"/>
    <w:rsid w:val="77F24938"/>
    <w:rsid w:val="7B6433C5"/>
    <w:rsid w:val="7BBF7178"/>
    <w:rsid w:val="7BC75E16"/>
    <w:rsid w:val="7CBDEBAA"/>
    <w:rsid w:val="7D7B0A78"/>
    <w:rsid w:val="7DFD56F7"/>
    <w:rsid w:val="7EFF1B5F"/>
    <w:rsid w:val="7F77C744"/>
    <w:rsid w:val="7F8FCD0A"/>
    <w:rsid w:val="7FE92487"/>
    <w:rsid w:val="7FF27925"/>
    <w:rsid w:val="7FF7691D"/>
    <w:rsid w:val="7FF77C02"/>
    <w:rsid w:val="7FFB45DE"/>
    <w:rsid w:val="8EC77E46"/>
    <w:rsid w:val="9BEBF976"/>
    <w:rsid w:val="9DD2235C"/>
    <w:rsid w:val="9DFDC3F3"/>
    <w:rsid w:val="9F77EDE0"/>
    <w:rsid w:val="9FAE5308"/>
    <w:rsid w:val="A7ADC751"/>
    <w:rsid w:val="ABEE1747"/>
    <w:rsid w:val="AFFB87E1"/>
    <w:rsid w:val="B7024DC3"/>
    <w:rsid w:val="B7EB85C0"/>
    <w:rsid w:val="BFFA957F"/>
    <w:rsid w:val="BFFF6F9A"/>
    <w:rsid w:val="C7FF231F"/>
    <w:rsid w:val="CF7EFF1E"/>
    <w:rsid w:val="CFFFBD17"/>
    <w:rsid w:val="D37BFC1A"/>
    <w:rsid w:val="D71BF88A"/>
    <w:rsid w:val="D7B9F022"/>
    <w:rsid w:val="D8FD1606"/>
    <w:rsid w:val="DD6310E0"/>
    <w:rsid w:val="DE6CD87A"/>
    <w:rsid w:val="DFC7E30B"/>
    <w:rsid w:val="DFDE2F53"/>
    <w:rsid w:val="E33EC96A"/>
    <w:rsid w:val="E6DD3A3E"/>
    <w:rsid w:val="E7375689"/>
    <w:rsid w:val="E7FB5D2D"/>
    <w:rsid w:val="EBDF5A4A"/>
    <w:rsid w:val="ECFFAF56"/>
    <w:rsid w:val="EE7FD136"/>
    <w:rsid w:val="EEDF40FD"/>
    <w:rsid w:val="EEEFB9E7"/>
    <w:rsid w:val="EF6C13B0"/>
    <w:rsid w:val="EFDC1CA1"/>
    <w:rsid w:val="F27F40E2"/>
    <w:rsid w:val="F2ECBE94"/>
    <w:rsid w:val="F3EEBA53"/>
    <w:rsid w:val="F3EF090C"/>
    <w:rsid w:val="F3FD3134"/>
    <w:rsid w:val="F8DBA87B"/>
    <w:rsid w:val="F9C39014"/>
    <w:rsid w:val="FA7D6142"/>
    <w:rsid w:val="FB6D6C2E"/>
    <w:rsid w:val="FBDDCB18"/>
    <w:rsid w:val="FBF71954"/>
    <w:rsid w:val="FBFEAEB6"/>
    <w:rsid w:val="FD973B98"/>
    <w:rsid w:val="FDFB64E3"/>
    <w:rsid w:val="FE51D7D1"/>
    <w:rsid w:val="FEDF6ED5"/>
    <w:rsid w:val="FEEBA87C"/>
    <w:rsid w:val="FF7F2ABB"/>
    <w:rsid w:val="FF9B00B0"/>
    <w:rsid w:val="FFBE44DA"/>
    <w:rsid w:val="FFFE2522"/>
    <w:rsid w:val="FFFEC1FA"/>
    <w:rsid w:val="FFFF0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Times New Roman"/>
      <w:kern w:val="2"/>
      <w:sz w:val="32"/>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pPr>
      <w:widowControl w:val="0"/>
      <w:jc w:val="both"/>
    </w:pPr>
    <w:rPr>
      <w:rFonts w:ascii="仿宋" w:hAnsi="仿宋" w:eastAsia="仿宋" w:cs="楷体_GB2312"/>
      <w:kern w:val="2"/>
      <w:sz w:val="18"/>
      <w:szCs w:val="32"/>
      <w:lang w:val="en-US" w:eastAsia="zh-CN" w:bidi="ar-SA"/>
    </w:rPr>
  </w:style>
  <w:style w:type="paragraph" w:styleId="3">
    <w:name w:val="Normal Indent"/>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1"/>
      <w:lang w:val="en-US" w:eastAsia="zh-CN" w:bidi="ar"/>
    </w:rPr>
  </w:style>
  <w:style w:type="paragraph" w:styleId="4">
    <w:name w:val="Plain Text"/>
    <w:basedOn w:val="1"/>
    <w:qFormat/>
    <w:uiPriority w:val="0"/>
    <w:rPr>
      <w:rFonts w:ascii="宋体" w:hAnsi="Courier New"/>
    </w:rPr>
  </w:style>
  <w:style w:type="paragraph" w:styleId="5">
    <w:name w:val="Body Text Indent 2"/>
    <w:basedOn w:val="1"/>
    <w:qFormat/>
    <w:uiPriority w:val="0"/>
    <w:pPr>
      <w:spacing w:after="120" w:line="480" w:lineRule="auto"/>
      <w:ind w:left="420" w:leftChars="200"/>
    </w:pPr>
  </w:style>
  <w:style w:type="paragraph" w:styleId="6">
    <w:name w:val="footer"/>
    <w:basedOn w:val="1"/>
    <w:unhideWhenUsed/>
    <w:qFormat/>
    <w:uiPriority w:val="0"/>
    <w:pPr>
      <w:tabs>
        <w:tab w:val="center" w:pos="4153"/>
        <w:tab w:val="right" w:pos="8306"/>
      </w:tabs>
      <w:snapToGrid w:val="0"/>
      <w:jc w:val="left"/>
    </w:pPr>
    <w:rPr>
      <w:rFonts w:ascii="Calibri" w:hAnsi="Calibri" w:eastAsia="Times New Roman"/>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2"/>
    </w:rPr>
  </w:style>
  <w:style w:type="paragraph" w:styleId="9">
    <w:name w:val="Body Text First Indent 2"/>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32"/>
      <w:szCs w:val="32"/>
      <w:lang w:val="en-US" w:eastAsia="zh-CN" w:bidi="ar"/>
    </w:rPr>
  </w:style>
  <w:style w:type="character" w:styleId="12">
    <w:name w:val="Strong"/>
    <w:basedOn w:val="11"/>
    <w:qFormat/>
    <w:uiPriority w:val="0"/>
    <w:rPr>
      <w:b/>
    </w:rPr>
  </w:style>
  <w:style w:type="character" w:styleId="13">
    <w:name w:val="page number"/>
    <w:basedOn w:val="11"/>
    <w:qFormat/>
    <w:uiPriority w:val="0"/>
  </w:style>
  <w:style w:type="paragraph" w:customStyle="1" w:styleId="14">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15">
    <w:name w:val="ParaAttribute0"/>
    <w:qFormat/>
    <w:uiPriority w:val="0"/>
    <w:pPr>
      <w:widowControl w:val="0"/>
    </w:pPr>
    <w:rPr>
      <w:rFonts w:ascii="Times New Roman" w:hAnsi="Times New Roman" w:eastAsia="Batang" w:cs="Times New Roman"/>
      <w:sz w:val="21"/>
      <w:szCs w:val="22"/>
      <w:lang w:val="en-US" w:eastAsia="zh-CN" w:bidi="ar-SA"/>
    </w:rPr>
  </w:style>
  <w:style w:type="character" w:customStyle="1" w:styleId="16">
    <w:name w:val="CharAttribute0"/>
    <w:qFormat/>
    <w:uiPriority w:val="0"/>
    <w:rPr>
      <w:rFonts w:hint="default" w:ascii="Times New Roman" w:hAnsi="Times New Roman" w:eastAsia="Times New Roman" w:cs="Times New Roman"/>
    </w:rPr>
  </w:style>
  <w:style w:type="paragraph" w:customStyle="1" w:styleId="17">
    <w:name w:val="Char"/>
    <w:basedOn w:val="1"/>
    <w:qFormat/>
    <w:uiPriority w:val="0"/>
    <w:pPr>
      <w:widowControl/>
      <w:spacing w:after="160" w:line="240" w:lineRule="exact"/>
      <w:jc w:val="left"/>
    </w:pPr>
    <w:rPr>
      <w:rFonts w:ascii="Calibri" w:hAnsi="Calibri" w:eastAsia="宋体" w:cs="Times New Roman"/>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8300</Words>
  <Characters>8329</Characters>
  <Lines>1</Lines>
  <Paragraphs>1</Paragraphs>
  <TotalTime>9</TotalTime>
  <ScaleCrop>false</ScaleCrop>
  <LinksUpToDate>false</LinksUpToDate>
  <CharactersWithSpaces>8530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2022-09-05T00:45:00Z</dcterms:created>
  <dc:creator>005</dc:creator>
  <cp:lastModifiedBy>ptxc</cp:lastModifiedBy>
  <cp:lastPrinted>2025-03-18T16:42:00Z</cp:lastPrinted>
  <dcterms:modified xsi:type="dcterms:W3CDTF">2025-03-28T16:48:00Z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FB2D7D36152A47699D7DC4A2D9C003EB</vt:lpwstr>
  </property>
</Properties>
</file>