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莆田市人民代表大会常务委员会公告</w:t>
      </w:r>
    </w:p>
    <w:p>
      <w:pPr>
        <w:spacing w:before="289" w:after="289"/>
        <w:jc w:val="center"/>
        <w:rPr>
          <w:rFonts w:hint="eastAsia" w:ascii="楷体" w:hAnsi="楷体" w:eastAsia="楷体" w:cs="仿宋_GB2312"/>
          <w:szCs w:val="32"/>
        </w:rPr>
      </w:pPr>
      <w:r>
        <w:rPr>
          <w:rFonts w:hint="eastAsia" w:ascii="楷体" w:hAnsi="楷体" w:eastAsia="楷体" w:cs="仿宋_GB2312"/>
          <w:szCs w:val="32"/>
        </w:rPr>
        <w:t>〔</w:t>
      </w:r>
      <w:r>
        <w:rPr>
          <w:rFonts w:hint="eastAsia" w:ascii="楷体" w:hAnsi="楷体" w:eastAsia="楷体" w:cs="仿宋_GB2312"/>
          <w:szCs w:val="32"/>
          <w:lang w:eastAsia="zh-CN"/>
        </w:rPr>
        <w:t>八</w:t>
      </w:r>
      <w:r>
        <w:rPr>
          <w:rFonts w:hint="eastAsia" w:ascii="楷体" w:hAnsi="楷体" w:eastAsia="楷体" w:cs="仿宋_GB2312"/>
          <w:szCs w:val="32"/>
        </w:rPr>
        <w:t>届〕第</w:t>
      </w:r>
      <w:r>
        <w:rPr>
          <w:rFonts w:hint="eastAsia" w:ascii="楷体" w:hAnsi="楷体" w:eastAsia="楷体" w:cs="仿宋_GB2312"/>
          <w:szCs w:val="32"/>
          <w:lang w:val="en-US" w:eastAsia="zh-CN"/>
        </w:rPr>
        <w:t>十一</w:t>
      </w:r>
      <w:r>
        <w:rPr>
          <w:rFonts w:hint="eastAsia" w:ascii="楷体" w:hAnsi="楷体" w:eastAsia="楷体" w:cs="仿宋_GB2312"/>
          <w:szCs w:val="32"/>
        </w:rPr>
        <w:t>号</w:t>
      </w:r>
    </w:p>
    <w:p>
      <w:pPr>
        <w:ind w:firstLine="632" w:firstLineChars="200"/>
        <w:rPr>
          <w:rFonts w:hint="eastAsia" w:hAnsi="仿宋"/>
        </w:rPr>
      </w:pPr>
      <w:r>
        <w:rPr>
          <w:rFonts w:hint="eastAsia" w:cs="仿宋"/>
          <w:spacing w:val="0"/>
        </w:rPr>
        <w:t>《莆</w:t>
      </w:r>
      <w:r>
        <w:rPr>
          <w:rFonts w:hint="eastAsia" w:cs="仿宋"/>
          <w:b w:val="0"/>
          <w:bCs w:val="0"/>
          <w:spacing w:val="0"/>
        </w:rPr>
        <w:t>田市</w:t>
      </w:r>
      <w:r>
        <w:rPr>
          <w:rFonts w:hint="eastAsia" w:cs="仿宋"/>
          <w:b w:val="0"/>
          <w:bCs w:val="0"/>
          <w:spacing w:val="0"/>
          <w:lang w:eastAsia="zh-CN"/>
        </w:rPr>
        <w:t>河湖林田长制条例</w:t>
      </w:r>
      <w:r>
        <w:rPr>
          <w:rFonts w:hint="eastAsia" w:cs="仿宋"/>
          <w:spacing w:val="0"/>
        </w:rPr>
        <w:t>》已于202</w:t>
      </w:r>
      <w:r>
        <w:rPr>
          <w:rFonts w:hint="eastAsia" w:cs="仿宋"/>
          <w:spacing w:val="0"/>
          <w:lang w:val="en-US" w:eastAsia="zh-CN"/>
        </w:rPr>
        <w:t>4</w:t>
      </w:r>
      <w:r>
        <w:rPr>
          <w:rFonts w:hint="eastAsia" w:cs="仿宋"/>
          <w:spacing w:val="0"/>
        </w:rPr>
        <w:t>年</w:t>
      </w:r>
      <w:r>
        <w:rPr>
          <w:rFonts w:hint="eastAsia" w:cs="仿宋"/>
          <w:spacing w:val="0"/>
          <w:lang w:val="en-US" w:eastAsia="zh-CN"/>
        </w:rPr>
        <w:t>8</w:t>
      </w:r>
      <w:r>
        <w:rPr>
          <w:rFonts w:hint="eastAsia" w:cs="仿宋"/>
          <w:spacing w:val="0"/>
        </w:rPr>
        <w:t>月</w:t>
      </w:r>
      <w:r>
        <w:rPr>
          <w:rFonts w:hint="eastAsia" w:cs="仿宋"/>
          <w:spacing w:val="0"/>
          <w:lang w:val="en-US" w:eastAsia="zh-CN"/>
        </w:rPr>
        <w:t>29</w:t>
      </w:r>
      <w:r>
        <w:rPr>
          <w:rFonts w:hint="eastAsia" w:cs="仿宋"/>
          <w:spacing w:val="0"/>
        </w:rPr>
        <w:t>日经莆田市第</w:t>
      </w:r>
      <w:r>
        <w:rPr>
          <w:rFonts w:hint="eastAsia" w:cs="仿宋"/>
          <w:spacing w:val="0"/>
          <w:lang w:eastAsia="zh-CN"/>
        </w:rPr>
        <w:t>八</w:t>
      </w:r>
      <w:r>
        <w:rPr>
          <w:rFonts w:hint="eastAsia" w:cs="仿宋"/>
          <w:spacing w:val="0"/>
        </w:rPr>
        <w:t>届人民代表大会常务委员会第</w:t>
      </w:r>
      <w:r>
        <w:rPr>
          <w:rFonts w:hint="eastAsia" w:cs="仿宋"/>
          <w:spacing w:val="0"/>
          <w:lang w:eastAsia="zh-CN"/>
        </w:rPr>
        <w:t>二十</w:t>
      </w:r>
      <w:r>
        <w:rPr>
          <w:rFonts w:hint="eastAsia" w:cs="仿宋"/>
          <w:spacing w:val="0"/>
        </w:rPr>
        <w:t>次会议通过</w:t>
      </w:r>
      <w:r>
        <w:rPr>
          <w:rFonts w:hint="eastAsia" w:hAnsi="仿宋"/>
        </w:rPr>
        <w:t>，于</w:t>
      </w:r>
      <w:r>
        <w:rPr>
          <w:rFonts w:hAnsi="仿宋"/>
        </w:rPr>
        <w:t>2</w:t>
      </w:r>
      <w:r>
        <w:rPr>
          <w:rFonts w:hint="eastAsia" w:hAnsi="仿宋"/>
          <w:lang w:val="en-US" w:eastAsia="zh-CN"/>
        </w:rPr>
        <w:t>02</w:t>
      </w:r>
      <w:r>
        <w:rPr>
          <w:rFonts w:hint="eastAsia"/>
          <w:lang w:val="en-US" w:eastAsia="zh-CN"/>
        </w:rPr>
        <w:t>4</w:t>
      </w:r>
      <w:r>
        <w:rPr>
          <w:rFonts w:hint="eastAsia" w:hAnsi="仿宋"/>
        </w:rPr>
        <w:t>年</w:t>
      </w:r>
      <w:r>
        <w:rPr>
          <w:rFonts w:hint="eastAsia"/>
          <w:lang w:val="en-US" w:eastAsia="zh-CN"/>
        </w:rPr>
        <w:t>11</w:t>
      </w:r>
      <w:r>
        <w:rPr>
          <w:rFonts w:hint="eastAsia" w:hAnsi="仿宋"/>
        </w:rPr>
        <w:t>月</w:t>
      </w:r>
      <w:r>
        <w:rPr>
          <w:rFonts w:hint="eastAsia"/>
          <w:lang w:val="en-US" w:eastAsia="zh-CN"/>
        </w:rPr>
        <w:t>28</w:t>
      </w:r>
      <w:r>
        <w:rPr>
          <w:rFonts w:hint="eastAsia" w:hAnsi="仿宋"/>
        </w:rPr>
        <w:t>日经福建省第十</w:t>
      </w:r>
      <w:r>
        <w:rPr>
          <w:rFonts w:hint="eastAsia"/>
          <w:lang w:eastAsia="zh-CN"/>
        </w:rPr>
        <w:t>四</w:t>
      </w:r>
      <w:r>
        <w:rPr>
          <w:rFonts w:hint="eastAsia" w:hAnsi="仿宋"/>
        </w:rPr>
        <w:t>届人民代表大会常务委员会第</w:t>
      </w:r>
      <w:r>
        <w:rPr>
          <w:rFonts w:hint="eastAsia" w:hAnsi="仿宋"/>
          <w:lang w:eastAsia="zh-CN"/>
        </w:rPr>
        <w:t>十</w:t>
      </w:r>
      <w:r>
        <w:rPr>
          <w:rFonts w:hint="eastAsia"/>
          <w:lang w:eastAsia="zh-CN"/>
        </w:rPr>
        <w:t>三</w:t>
      </w:r>
      <w:r>
        <w:rPr>
          <w:rFonts w:hint="eastAsia" w:hAnsi="仿宋"/>
        </w:rPr>
        <w:t>次会议批准，现予公布，自20</w:t>
      </w:r>
      <w:r>
        <w:rPr>
          <w:rFonts w:hint="eastAsia"/>
          <w:lang w:val="en-US" w:eastAsia="zh-CN"/>
        </w:rPr>
        <w:t>25</w:t>
      </w:r>
      <w:r>
        <w:rPr>
          <w:rFonts w:hint="eastAsia" w:hAnsi="仿宋"/>
        </w:rPr>
        <w:t>年</w:t>
      </w:r>
      <w:r>
        <w:rPr>
          <w:rFonts w:hint="eastAsia"/>
          <w:lang w:val="en-US" w:eastAsia="zh-CN"/>
        </w:rPr>
        <w:t>1</w:t>
      </w:r>
      <w:r>
        <w:rPr>
          <w:rFonts w:hint="eastAsia" w:hAnsi="仿宋"/>
        </w:rPr>
        <w:t>月1日起施行。</w:t>
      </w:r>
    </w:p>
    <w:p>
      <w:pPr>
        <w:rPr>
          <w:rFonts w:hint="eastAsia" w:hAnsi="仿宋"/>
        </w:rPr>
      </w:pPr>
    </w:p>
    <w:p>
      <w:pPr>
        <w:rPr>
          <w:rFonts w:hint="eastAsia" w:hAnsi="仿宋"/>
        </w:rPr>
      </w:pPr>
    </w:p>
    <w:p>
      <w:pPr>
        <w:rPr>
          <w:rFonts w:hint="eastAsia" w:hAnsi="仿宋"/>
        </w:rPr>
      </w:pPr>
      <w:r>
        <w:rPr>
          <w:rFonts w:hint="eastAsia" w:hAnsi="仿宋"/>
        </w:rPr>
        <w:t xml:space="preserve">                      莆田市人民代表大会常务委员会</w:t>
      </w:r>
    </w:p>
    <w:p>
      <w:pPr>
        <w:rPr>
          <w:rFonts w:hint="eastAsia" w:cs="仿宋"/>
        </w:rPr>
      </w:pPr>
      <w:r>
        <w:rPr>
          <w:rFonts w:hint="eastAsia" w:hAnsi="仿宋"/>
        </w:rPr>
        <w:t xml:space="preserve">                             20</w:t>
      </w:r>
      <w:r>
        <w:rPr>
          <w:rFonts w:hint="eastAsia" w:hAnsi="仿宋"/>
          <w:lang w:val="en-US" w:eastAsia="zh-CN"/>
        </w:rPr>
        <w:t>2</w:t>
      </w:r>
      <w:r>
        <w:rPr>
          <w:rFonts w:hint="eastAsia"/>
          <w:lang w:val="en-US" w:eastAsia="zh-CN"/>
        </w:rPr>
        <w:t>4</w:t>
      </w:r>
      <w:r>
        <w:rPr>
          <w:rFonts w:hint="eastAsia" w:hAnsi="仿宋"/>
        </w:rPr>
        <w:t>年</w:t>
      </w:r>
      <w:r>
        <w:rPr>
          <w:rFonts w:hint="eastAsia"/>
          <w:lang w:val="en-US" w:eastAsia="zh-CN"/>
        </w:rPr>
        <w:t>12</w:t>
      </w:r>
      <w:r>
        <w:rPr>
          <w:rFonts w:hint="eastAsia" w:hAnsi="仿宋"/>
        </w:rPr>
        <w:t>月</w:t>
      </w:r>
      <w:r>
        <w:rPr>
          <w:rFonts w:hint="eastAsia"/>
          <w:lang w:val="en-US" w:eastAsia="zh-CN"/>
        </w:rPr>
        <w:t>4</w:t>
      </w:r>
      <w:r>
        <w:rPr>
          <w:rFonts w:hint="eastAsia" w:hAnsi="仿宋"/>
        </w:rPr>
        <w:t>日</w:t>
      </w:r>
    </w:p>
    <w:p>
      <w:pPr>
        <w:rPr>
          <w:rFonts w:hint="eastAsia" w:cs="仿宋"/>
        </w:rPr>
      </w:pPr>
      <w:r>
        <w:rPr>
          <w:rFonts w:hint="eastAsia" w:cs="仿宋"/>
        </w:rPr>
        <w:br w:type="page"/>
      </w: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Cs/>
          <w:spacing w:val="0"/>
          <w:kern w:val="0"/>
          <w:sz w:val="44"/>
          <w:szCs w:val="44"/>
          <w:shd w:val="clear" w:fill="FFFFFF"/>
        </w:rPr>
      </w:pPr>
      <w:r>
        <w:rPr>
          <w:rFonts w:hint="eastAsia" w:ascii="方正小标宋简体" w:hAnsi="方正小标宋简体" w:eastAsia="方正小标宋简体" w:cs="方正小标宋简体"/>
          <w:bCs/>
          <w:spacing w:val="0"/>
          <w:kern w:val="0"/>
          <w:sz w:val="44"/>
          <w:szCs w:val="44"/>
          <w:shd w:val="clear" w:fill="FFFFFF"/>
          <w:lang w:val="en-US" w:eastAsia="zh-CN" w:bidi="ar"/>
        </w:rPr>
        <w:t>莆田市河湖林田长制条例</w:t>
      </w:r>
    </w:p>
    <w:p>
      <w:pPr>
        <w:keepNext w:val="0"/>
        <w:keepLines w:val="0"/>
        <w:pageBreakBefore w:val="0"/>
        <w:widowControl w:val="0"/>
        <w:kinsoku/>
        <w:overflowPunct/>
        <w:topLinePunct w:val="0"/>
        <w:autoSpaceDN/>
        <w:bidi w:val="0"/>
        <w:adjustRightInd/>
        <w:snapToGrid/>
        <w:spacing w:line="240" w:lineRule="auto"/>
        <w:jc w:val="center"/>
        <w:textAlignment w:val="auto"/>
        <w:rPr>
          <w:rFonts w:hint="eastAsia"/>
          <w:spacing w:val="0"/>
        </w:rPr>
      </w:pPr>
    </w:p>
    <w:p>
      <w:pPr>
        <w:jc w:val="center"/>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（2024年8月29日莆田市第八届人民代表大会</w:t>
      </w:r>
    </w:p>
    <w:p>
      <w:pPr>
        <w:jc w:val="center"/>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常务委员会第二十次会议通过</w:t>
      </w:r>
    </w:p>
    <w:p>
      <w:pPr>
        <w:jc w:val="center"/>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2024年11月28日福建省第十四届人民代表大会</w:t>
      </w:r>
    </w:p>
    <w:p>
      <w:pPr>
        <w:jc w:val="center"/>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常务委员会第十三次会议批准）</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default"/>
          <w:spacing w:val="0"/>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第一条</w:t>
      </w:r>
      <w:r>
        <w:rPr>
          <w:rFonts w:hint="eastAsia" w:cs="仿宋"/>
          <w:b/>
          <w:bCs/>
          <w:spacing w:val="0"/>
          <w:kern w:val="2"/>
          <w:sz w:val="32"/>
          <w:szCs w:val="32"/>
          <w:lang w:val="en-US" w:eastAsia="zh-CN" w:bidi="ar"/>
        </w:rPr>
        <w:t xml:space="preserve">  </w:t>
      </w:r>
      <w:r>
        <w:rPr>
          <w:rFonts w:hint="eastAsia" w:ascii="仿宋" w:hAnsi="仿宋" w:eastAsia="仿宋" w:cs="仿宋"/>
          <w:spacing w:val="0"/>
          <w:kern w:val="2"/>
          <w:sz w:val="32"/>
          <w:szCs w:val="32"/>
          <w:lang w:val="en-US" w:eastAsia="zh-CN" w:bidi="ar"/>
        </w:rPr>
        <w:t>为了践行习近平生态文明思想，贯彻落实习近平总书记治理木兰溪重要理念，健全生态保护管理的长效机制，保障河湖林田长制统筹有效实施，推动河湖林田一体化保护和系统化管理，根据有关法律、法规，结合本市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第二条</w:t>
      </w:r>
      <w:r>
        <w:rPr>
          <w:rFonts w:hint="eastAsia" w:cs="仿宋"/>
          <w:b/>
          <w:bCs/>
          <w:spacing w:val="0"/>
          <w:kern w:val="2"/>
          <w:sz w:val="32"/>
          <w:szCs w:val="32"/>
          <w:lang w:val="en-US" w:eastAsia="zh-CN" w:bidi="ar"/>
        </w:rPr>
        <w:t xml:space="preserve">  </w:t>
      </w:r>
      <w:r>
        <w:rPr>
          <w:rFonts w:hint="eastAsia" w:ascii="仿宋" w:hAnsi="仿宋" w:eastAsia="仿宋" w:cs="仿宋"/>
          <w:spacing w:val="0"/>
          <w:kern w:val="2"/>
          <w:sz w:val="32"/>
          <w:szCs w:val="32"/>
          <w:lang w:val="en-US" w:eastAsia="zh-CN" w:bidi="ar"/>
        </w:rPr>
        <w:t>本条例适用于本市行政区域内河湖林田长制工作。</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t>本条例所称河湖林田长制，是指在本市行政区域内设立河湖林田长，履行河湖长、林长、田长职责，统一组织领导实施相应河湖林田保护管理的工作机制。</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第三条</w:t>
      </w:r>
      <w:r>
        <w:rPr>
          <w:rFonts w:hint="eastAsia" w:ascii="仿宋" w:hAnsi="仿宋" w:eastAsia="仿宋" w:cs="仿宋"/>
          <w:b/>
          <w:bCs/>
          <w:spacing w:val="0"/>
          <w:kern w:val="2"/>
          <w:sz w:val="32"/>
          <w:szCs w:val="32"/>
          <w:lang w:val="en-US" w:eastAsia="zh-CN"/>
        </w:rPr>
        <w:t xml:space="preserve">  </w:t>
      </w:r>
      <w:r>
        <w:rPr>
          <w:rFonts w:hint="eastAsia" w:ascii="仿宋" w:hAnsi="仿宋" w:eastAsia="仿宋" w:cs="仿宋"/>
          <w:spacing w:val="0"/>
          <w:kern w:val="2"/>
          <w:sz w:val="32"/>
          <w:szCs w:val="32"/>
        </w:rPr>
        <w:t>实施河湖林田长制，应当坚持生态优先、绿色发展、系统治理、部门联动、公众参与的原则，建立健全统一管理与分级管理相结合的制度体系。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第四条</w:t>
      </w:r>
      <w:r>
        <w:rPr>
          <w:rFonts w:hint="eastAsia" w:cs="仿宋"/>
          <w:b/>
          <w:bCs/>
          <w:spacing w:val="0"/>
          <w:kern w:val="2"/>
          <w:sz w:val="32"/>
          <w:szCs w:val="32"/>
          <w:lang w:val="en-US" w:eastAsia="zh-CN" w:bidi="ar"/>
        </w:rPr>
        <w:t xml:space="preserve">  </w:t>
      </w:r>
      <w:r>
        <w:rPr>
          <w:rFonts w:hint="eastAsia" w:ascii="仿宋" w:hAnsi="仿宋" w:eastAsia="仿宋" w:cs="仿宋"/>
          <w:spacing w:val="0"/>
          <w:kern w:val="2"/>
          <w:sz w:val="32"/>
          <w:szCs w:val="32"/>
          <w:lang w:val="en-US" w:eastAsia="zh-CN" w:bidi="ar"/>
        </w:rPr>
        <w:t>本市各级人民政府应当建立健全河湖林田长工作机制，将河湖林田长制工作经费纳入本级预算。</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t>每年12月27日为“莆田市河湖林田长日”。本市各级人民政府以及有关部门应当开展河湖林田长制宣传教育和普法工作，增强全社会共同参与生态文明建设的责任意识。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第五条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鼓励社会组织和其他社会力量以出资、捐赠、志愿服务活动等方式，参与河湖林田保护和管理。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鼓励村（居）民委员会通过制定村规民约、居民公约，对河湖林田保护管理作出约定。</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报刊、广播、电视和网络媒体等应当加强河湖林田保护管理的宣传教育，营造全社会合力推进河湖林田长制工作的良好氛围。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第六条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建立市、县（区）、乡镇（街道）三级河湖林田长体系；根据实际需要，可以设立村（居）级河湖林田长。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市、县（区）、乡镇（街道）主要负责人是本行政区域河湖林田长，作为河湖林田长制工作的第一责任人。市、县（区）设立常务副河湖林田长，协助河湖林田长开展工作；设立副河湖林田长，由相关分管副市长、副县（区）长担任。乡镇（街道）参照市、县（区）设立副河湖林田长。</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根据实际需要，可以设立跨行政区域河湖林田长。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第七条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市、县（区）河湖林田长具体履行下列职责：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（一）领导本行政区域内的河湖林田长制工作，研究河湖林田长制重大决策部署，组织制定河湖林田长制相关制度，明确河湖林田长制成员单位职责，</w:t>
      </w:r>
      <w:r>
        <w:rPr>
          <w:rFonts w:hint="eastAsia" w:cs="仿宋"/>
          <w:b w:val="0"/>
          <w:bCs w:val="0"/>
          <w:spacing w:val="0"/>
          <w:kern w:val="2"/>
          <w:sz w:val="32"/>
          <w:szCs w:val="32"/>
          <w:lang w:val="en-US" w:eastAsia="zh-CN" w:bidi="ar"/>
        </w:rPr>
        <w:t>落实各项经费保障，</w:t>
      </w:r>
      <w:r>
        <w:rPr>
          <w:rFonts w:hint="eastAsia" w:ascii="仿宋" w:hAnsi="仿宋" w:eastAsia="仿宋" w:cs="仿宋"/>
          <w:b w:val="0"/>
          <w:bCs w:val="0"/>
          <w:spacing w:val="0"/>
          <w:kern w:val="2"/>
          <w:sz w:val="32"/>
          <w:szCs w:val="32"/>
          <w:lang w:val="en-US" w:eastAsia="zh-CN" w:bidi="ar"/>
        </w:rPr>
        <w:t>研究确定年度工作任务；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（二）协调解决重大问题，明确本行政区域河湖林田的保护管理责任，协调开展跨行政区域、跨部门联防联控工作；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（三）组织对本级河湖林田长制成员单位、下级河湖林田长履职情况进行督查、考核；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（四）定期开展巡查，对巡查发现的问题进行交办、督办，提出整改要求；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（五）签发河湖林田长令，部署河湖林田长制重点工作，开展河湖林田突出问题专项整治行动；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（六）督促有关部门对涉及河湖林田具有历史文化价值的实物、设施、场所进行普查并予以保护；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（七）国家、省、市规定的其他职责。</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河湖林田长制相关配套制度，应当在本条例实施之日起一年内制定。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第八条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乡镇（街道）河湖林田长具体履行下列职责：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（一）按照规定开展河湖林田日常巡查；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（二）配合上级河湖林田长、河湖林田长制成员单位开展责任区域的问题整治和执法活动；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（三）组织开展河湖林田日常管护；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（四）</w:t>
      </w:r>
      <w:r>
        <w:rPr>
          <w:rFonts w:hint="eastAsia" w:cs="仿宋"/>
          <w:b w:val="0"/>
          <w:bCs w:val="0"/>
          <w:spacing w:val="0"/>
          <w:kern w:val="2"/>
          <w:sz w:val="32"/>
          <w:szCs w:val="32"/>
          <w:lang w:val="en-US" w:eastAsia="zh-CN" w:bidi="ar"/>
        </w:rPr>
        <w:t>按照有关规定和统一部署，</w:t>
      </w:r>
      <w:r>
        <w:rPr>
          <w:rFonts w:hint="eastAsia" w:ascii="仿宋" w:hAnsi="仿宋" w:eastAsia="仿宋" w:cs="仿宋"/>
          <w:b w:val="0"/>
          <w:bCs w:val="0"/>
          <w:spacing w:val="0"/>
          <w:kern w:val="2"/>
          <w:sz w:val="32"/>
          <w:szCs w:val="32"/>
          <w:lang w:val="en-US" w:eastAsia="zh-CN" w:bidi="ar"/>
        </w:rPr>
        <w:t>聘用网格、巡查、管护人员并监督、指导其开展日常工作；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（五）完成上级河湖林田长交办的任务；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（六）国家、省、市、县（区）规定的其他职责。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乡镇人民政府、街道办事处可以与村（居）主要负责人签订协议书，明确村（居）级河湖林田长及其职责、经费保障等事项。村（居）级河湖林田长按照协议开展相关工作。</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第九条</w:t>
      </w:r>
      <w:r>
        <w:rPr>
          <w:rFonts w:hint="eastAsia" w:ascii="仿宋" w:hAnsi="仿宋" w:eastAsia="仿宋" w:cs="仿宋"/>
          <w:b/>
          <w:bCs/>
          <w:spacing w:val="0"/>
          <w:kern w:val="2"/>
          <w:sz w:val="32"/>
          <w:szCs w:val="32"/>
          <w:lang w:val="en-US" w:eastAsia="zh-CN"/>
        </w:rPr>
        <w:t xml:space="preserve">  </w:t>
      </w:r>
      <w:r>
        <w:rPr>
          <w:rFonts w:hint="eastAsia" w:ascii="仿宋" w:hAnsi="仿宋" w:eastAsia="仿宋" w:cs="仿宋"/>
          <w:b w:val="0"/>
          <w:bCs w:val="0"/>
          <w:spacing w:val="0"/>
          <w:kern w:val="2"/>
          <w:sz w:val="32"/>
          <w:szCs w:val="32"/>
        </w:rPr>
        <w:t>市、县（区）河湖林田长制工作机构设在同级人民政府办公室，承担河湖林田长制组织实施和日常工作。乡镇（街道）应当明确承担河湖林田长制日常工作的机构。</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各级河湖林田长制工作机构应当建立完善相关工作机制，促进资源整合，做好组织、协调、分办、督办工作，具体履行下列职责：</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（一）根据河湖林田长决策事项拟定年度工作任务；</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（二）督促和协调河湖林田长制成员单位落实工作任务；</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（三）承办河湖林田长制督查、考核工作；</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（四）协助河湖林田长做好巡查等日常工作；</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（五）统筹编制一河（湖、林、田）一策方案，建立一河（湖、林、田）一档；</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（六）指导和督促水利、林业、自然资源等部门根据有关规定健全工作机构</w:t>
      </w:r>
      <w:r>
        <w:rPr>
          <w:rFonts w:hint="eastAsia" w:ascii="仿宋" w:hAnsi="仿宋" w:eastAsia="仿宋" w:cs="仿宋"/>
          <w:b w:val="0"/>
          <w:bCs w:val="0"/>
          <w:spacing w:val="0"/>
          <w:kern w:val="2"/>
          <w:sz w:val="32"/>
          <w:szCs w:val="32"/>
          <w:lang w:eastAsia="zh-CN"/>
        </w:rPr>
        <w:t>，</w:t>
      </w:r>
      <w:r>
        <w:rPr>
          <w:rFonts w:hint="eastAsia" w:ascii="仿宋" w:hAnsi="仿宋" w:eastAsia="仿宋" w:cs="仿宋"/>
          <w:b w:val="0"/>
          <w:bCs w:val="0"/>
          <w:spacing w:val="0"/>
          <w:kern w:val="2"/>
          <w:sz w:val="32"/>
          <w:szCs w:val="32"/>
        </w:rPr>
        <w:t>对接国家、省河湖长办、林长办、田长办</w:t>
      </w:r>
      <w:r>
        <w:rPr>
          <w:rFonts w:hint="eastAsia" w:ascii="仿宋" w:hAnsi="仿宋" w:eastAsia="仿宋" w:cs="仿宋"/>
          <w:b w:val="0"/>
          <w:bCs w:val="0"/>
          <w:spacing w:val="0"/>
          <w:kern w:val="2"/>
          <w:sz w:val="32"/>
          <w:szCs w:val="32"/>
          <w:lang w:eastAsia="zh-CN"/>
        </w:rPr>
        <w:t>的</w:t>
      </w:r>
      <w:r>
        <w:rPr>
          <w:rFonts w:hint="eastAsia" w:ascii="仿宋" w:hAnsi="仿宋" w:eastAsia="仿宋" w:cs="仿宋"/>
          <w:b w:val="0"/>
          <w:bCs w:val="0"/>
          <w:spacing w:val="0"/>
          <w:kern w:val="2"/>
          <w:sz w:val="32"/>
          <w:szCs w:val="32"/>
        </w:rPr>
        <w:t>工作事项；</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（七）国家、省、市规定的其他职责。</w:t>
      </w:r>
    </w:p>
    <w:p>
      <w:pPr>
        <w:pStyle w:val="3"/>
        <w:keepNext w:val="0"/>
        <w:keepLines w:val="0"/>
        <w:pageBreakBefore w:val="0"/>
        <w:widowControl w:val="0"/>
        <w:suppressLineNumbers w:val="0"/>
        <w:kinsoku/>
        <w:wordWrap/>
        <w:overflowPunct/>
        <w:topLinePunct w:val="0"/>
        <w:autoSpaceDE w:val="0"/>
        <w:autoSpaceDN/>
        <w:bidi w:val="0"/>
        <w:adjustRightInd/>
        <w:snapToGrid/>
        <w:spacing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 xml:space="preserve">第十条 </w:t>
      </w:r>
      <w:r>
        <w:rPr>
          <w:rFonts w:hint="eastAsia" w:cs="仿宋"/>
          <w:b/>
          <w:bCs/>
          <w:spacing w:val="0"/>
          <w:kern w:val="2"/>
          <w:sz w:val="32"/>
          <w:szCs w:val="32"/>
          <w:lang w:val="en-US" w:eastAsia="zh-CN"/>
        </w:rPr>
        <w:t xml:space="preserve"> </w:t>
      </w:r>
      <w:r>
        <w:rPr>
          <w:rFonts w:hint="eastAsia" w:ascii="仿宋" w:hAnsi="仿宋" w:eastAsia="仿宋" w:cs="仿宋"/>
          <w:b w:val="0"/>
          <w:bCs w:val="0"/>
          <w:spacing w:val="0"/>
          <w:kern w:val="2"/>
          <w:sz w:val="32"/>
          <w:szCs w:val="32"/>
        </w:rPr>
        <w:t>市、县（区）河湖林田长根据需要将发展改革、工信、公安、财政、自然资源、生态环境、住建、交通运输、水利、农业农村、文旅、林业、海洋与渔业、城市管理等部门确定为相应层级河湖林田长制成员单位。</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河湖林田长制成员单位应当按照谁主管谁监管、谁审批谁监管的原则，加强日常监管和协同配合，依法查处破坏河湖林田的行为，落实本级河湖林田长、河湖林田长制工作机构交办的事项。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第十一条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市、县（区）、乡镇（街道）河湖林田长应当每年至少召开一次河湖林田长会议，部署河湖林田长制工作，研究决定重大任务、行动。</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建立健全河湖林田长制成员单位问题会商、联合执法机制，推动跨行政区域、跨部门河湖林田协同治理。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第十二条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市人民政府应当建立全市统一的河湖林田管理信息化平台，推动相关数据资源共建共享，实现信息共享、协同治理、智能预警。</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网格、巡查、管护人员应当运用信息化平台，及时上传、交互、反馈巡查、环境等数据及各类地理信息。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第十三条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发挥基层网格管理优势，精简整合基层服务队伍开展河湖、林地、耕地等的网格化综合巡查、管护。根据需要，可以按照规定聘用专项河湖、林地、耕地的巡查、管护人员。</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网格、巡查、管护人员应当按照规定进行巡查、管护并上报工作情况，配合相关部门开展现场执法和纠纷调处等工作。对破坏河湖林田环境资源的行为进行劝阻、制止，并及时向河湖林田长制工作机构报告。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第十四条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各级河湖林田长及网格、巡查、管护人员的名单、责任区域、管护目标和监督电话应当通过政府网站等媒体和公示牌向社会公示，接受社会监督。</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河湖林田长制工作机构应当及时将涉及河湖林田保护管理问题的投诉、举报移交有关部门进行核实处理。有关部门应当及时核实处理，并将处理结果反馈给投诉人、举报人。投诉人、举报人的信息应当予以保密。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第十五条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市、县（区）河湖林田长应当定期听取本级河湖林田长制成员单位主要负责人和下一级河湖林田长工作情况的报告，并对履职情况进行考核。考核结果作为领导干部综合考核评价的重要依据，并纳入本级政府目标绩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市、县（区）人民政府应当建立奖励机制，对河湖林田长制工作推进力度大、成效明显的县（区）、乡镇（街道）进行激励，对在河湖林田长制工作中作出突出贡献的单位和个人按照有关规定予以表彰。</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县（区）、乡镇（街道）河湖林田长制工作机构定期对聘用的网格、巡查、管护人员履职情况进行考核。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第十六条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完善行政执法与刑事司法衔接机制，依法查处破坏河湖林田环境资源的违法犯罪行为。</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支持公安机关、人民检察院、人民法院运用生态恢复性司法机制，在办理破坏河湖林田环境资源的各类刑事、行政、民事案件中，依法</w:t>
      </w:r>
      <w:r>
        <w:rPr>
          <w:rFonts w:hint="eastAsia" w:ascii="仿宋" w:hAnsi="仿宋" w:eastAsia="仿宋" w:cs="仿宋"/>
          <w:b w:val="0"/>
          <w:bCs w:val="0"/>
          <w:spacing w:val="0"/>
          <w:kern w:val="2"/>
          <w:sz w:val="32"/>
          <w:szCs w:val="32"/>
          <w:lang w:eastAsia="zh-CN"/>
        </w:rPr>
        <w:t>责令</w:t>
      </w:r>
      <w:r>
        <w:rPr>
          <w:rFonts w:hint="eastAsia" w:ascii="仿宋" w:hAnsi="仿宋" w:eastAsia="仿宋" w:cs="仿宋"/>
          <w:b w:val="0"/>
          <w:bCs w:val="0"/>
          <w:spacing w:val="0"/>
          <w:kern w:val="2"/>
          <w:sz w:val="32"/>
          <w:szCs w:val="32"/>
        </w:rPr>
        <w:t>相关行为人履行生态恢复责任。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 xml:space="preserve">第十七条 </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市、县（区）人民政府应当每年向本级人民代表大会常务委员会报告河湖林田长制工作情况。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市、县（区）人民代表大会常务委员会应当通过听取和审议专项工作报告、开展专题询问和执法检查等方式，加强对本行政区域内河湖林田长制工作的监督。</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市、县（区）河湖林田长制工作机构可以聘请人大代表、政协委员和新闻媒体、社会组织等单位相关人员担任监督员，对河湖林田长制工作成效进行监督和评价。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第十八条</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各级河湖林田长以及河湖林田长制工作机构、河湖林田长制成员单位的工作人员违反本条例规定，有下列行为之一的，可以予以约谈；根据情节轻重依法给予相应处分；构成犯罪的，依法追究刑事责任：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（一）未按照规定开展巡查、督查的；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（二）对巡查发现</w:t>
      </w:r>
      <w:r>
        <w:rPr>
          <w:rFonts w:hint="eastAsia" w:cs="仿宋"/>
          <w:b w:val="0"/>
          <w:bCs w:val="0"/>
          <w:spacing w:val="0"/>
          <w:kern w:val="2"/>
          <w:sz w:val="32"/>
          <w:szCs w:val="32"/>
          <w:lang w:val="en-US" w:eastAsia="zh-CN" w:bidi="ar"/>
        </w:rPr>
        <w:t>或者</w:t>
      </w:r>
      <w:r>
        <w:rPr>
          <w:rFonts w:hint="eastAsia" w:ascii="仿宋" w:hAnsi="仿宋" w:eastAsia="仿宋" w:cs="仿宋"/>
          <w:b w:val="0"/>
          <w:bCs w:val="0"/>
          <w:spacing w:val="0"/>
          <w:kern w:val="2"/>
          <w:sz w:val="32"/>
          <w:szCs w:val="32"/>
          <w:lang w:val="en-US" w:eastAsia="zh-CN" w:bidi="ar"/>
        </w:rPr>
        <w:t>公众投诉举报的问题，以及下级报送的问题未及时处理或者处理不当的；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（三）未落实督查、约谈整改要求或者未及时报送整改情况的；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（四）未落实上级河湖林田长、河湖林田长制工作机构和本级河湖林田长决策或者交办事项的；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lang w:val="en-US" w:eastAsia="zh-CN" w:bidi="ar"/>
        </w:rPr>
        <w:t>（五）河湖林田长制工作年度考核不合格的；</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（六）其他未按照规定履行河湖林田长制相关职责的行为或者其他滥用职权、玩忽职守、徇私舞弊的行为。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left"/>
        <w:textAlignment w:val="auto"/>
        <w:rPr>
          <w:rFonts w:hint="eastAsia" w:ascii="仿宋" w:hAnsi="仿宋" w:eastAsia="仿宋" w:cs="仿宋"/>
          <w:b w:val="0"/>
          <w:bCs w:val="0"/>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 xml:space="preserve">第十九条 </w:t>
      </w:r>
      <w:r>
        <w:rPr>
          <w:rFonts w:hint="eastAsia" w:cs="仿宋"/>
          <w:b/>
          <w:bCs/>
          <w:spacing w:val="0"/>
          <w:kern w:val="2"/>
          <w:sz w:val="32"/>
          <w:szCs w:val="32"/>
          <w:lang w:val="en-US" w:eastAsia="zh-CN" w:bidi="ar"/>
        </w:rPr>
        <w:t xml:space="preserve"> </w:t>
      </w:r>
      <w:r>
        <w:rPr>
          <w:rFonts w:hint="eastAsia" w:ascii="仿宋" w:hAnsi="仿宋" w:eastAsia="仿宋" w:cs="仿宋"/>
          <w:b w:val="0"/>
          <w:bCs w:val="0"/>
          <w:spacing w:val="0"/>
          <w:kern w:val="2"/>
          <w:sz w:val="32"/>
          <w:szCs w:val="32"/>
          <w:lang w:val="en-US" w:eastAsia="zh-CN" w:bidi="ar"/>
        </w:rPr>
        <w:t>本条例关于县（区）人民政府职责的规定，适用于湄洲岛国家旅游度假区管理委员会、湄洲湾北岸经济开发区管理委员会。</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仿宋" w:hAnsi="仿宋" w:eastAsia="仿宋" w:cs="仿宋"/>
          <w:b w:val="0"/>
          <w:bCs w:val="0"/>
          <w:spacing w:val="0"/>
          <w:kern w:val="2"/>
          <w:sz w:val="32"/>
          <w:szCs w:val="32"/>
        </w:rPr>
      </w:pPr>
      <w:r>
        <w:rPr>
          <w:rFonts w:hint="eastAsia" w:ascii="仿宋" w:hAnsi="仿宋" w:eastAsia="仿宋" w:cs="仿宋"/>
          <w:b w:val="0"/>
          <w:bCs w:val="0"/>
          <w:spacing w:val="0"/>
          <w:kern w:val="2"/>
          <w:sz w:val="32"/>
          <w:szCs w:val="32"/>
        </w:rPr>
        <w:t>本市行政区域内的山体、沙滩、湿地等保护工作机制，可以参照适用本条例。</w:t>
      </w:r>
    </w:p>
    <w:p>
      <w:pPr>
        <w:pStyle w:val="6"/>
        <w:keepNext w:val="0"/>
        <w:keepLines w:val="0"/>
        <w:pageBreakBefore w:val="0"/>
        <w:widowControl w:val="0"/>
        <w:suppressLineNumbers w:val="0"/>
        <w:kinsoku/>
        <w:wordWrap/>
        <w:overflowPunct/>
        <w:topLinePunct w:val="0"/>
        <w:autoSpaceDE w:val="0"/>
        <w:autoSpaceDN/>
        <w:bidi w:val="0"/>
        <w:adjustRightInd/>
        <w:snapToGrid/>
        <w:spacing w:after="0" w:afterAutospacing="0" w:line="240" w:lineRule="auto"/>
        <w:ind w:left="0" w:firstLine="632" w:firstLineChars="200"/>
        <w:jc w:val="left"/>
        <w:textAlignment w:val="auto"/>
        <w:rPr>
          <w:rFonts w:hint="eastAsia" w:ascii="Times New Roman" w:hAnsi="Times New Roman" w:eastAsia="宋体" w:cs="Times New Roman"/>
          <w:spacing w:val="0"/>
          <w:kern w:val="2"/>
          <w:sz w:val="32"/>
          <w:szCs w:val="32"/>
        </w:rPr>
      </w:pPr>
      <w:r>
        <w:rPr>
          <w:rFonts w:hint="eastAsia" w:ascii="黑体" w:hAnsi="黑体" w:eastAsia="黑体" w:cs="黑体"/>
          <w:color w:val="auto"/>
          <w:spacing w:val="0"/>
          <w:kern w:val="0"/>
          <w:sz w:val="32"/>
          <w:szCs w:val="32"/>
          <w:highlight w:val="none"/>
          <w:shd w:val="clear" w:color="auto" w:fill="FFFFFF"/>
          <w:lang w:val="en-US" w:eastAsia="zh-CN" w:bidi="ar-SA"/>
        </w:rPr>
        <w:t>第二十条</w:t>
      </w:r>
      <w:r>
        <w:rPr>
          <w:rFonts w:hint="eastAsia" w:ascii="仿宋" w:hAnsi="仿宋" w:eastAsia="仿宋" w:cs="仿宋"/>
          <w:b/>
          <w:bCs/>
          <w:spacing w:val="0"/>
          <w:kern w:val="2"/>
          <w:sz w:val="32"/>
          <w:szCs w:val="32"/>
          <w:lang w:val="en-US" w:eastAsia="zh-CN"/>
        </w:rPr>
        <w:t xml:space="preserve">  </w:t>
      </w:r>
      <w:r>
        <w:rPr>
          <w:rFonts w:hint="eastAsia" w:ascii="仿宋" w:hAnsi="仿宋" w:eastAsia="仿宋" w:cs="仿宋"/>
          <w:spacing w:val="0"/>
          <w:kern w:val="2"/>
          <w:sz w:val="32"/>
          <w:szCs w:val="32"/>
        </w:rPr>
        <w:t>本条例自</w:t>
      </w:r>
      <w:r>
        <w:rPr>
          <w:rFonts w:hint="eastAsia" w:ascii="仿宋" w:hAnsi="仿宋" w:eastAsia="仿宋" w:cs="仿宋"/>
          <w:spacing w:val="0"/>
          <w:kern w:val="2"/>
          <w:sz w:val="32"/>
          <w:szCs w:val="32"/>
          <w:lang w:val="en-US" w:eastAsia="zh-CN"/>
        </w:rPr>
        <w:t>2025</w:t>
      </w:r>
      <w:r>
        <w:rPr>
          <w:rFonts w:hint="eastAsia" w:ascii="仿宋" w:hAnsi="仿宋" w:eastAsia="仿宋" w:cs="仿宋"/>
          <w:spacing w:val="0"/>
          <w:kern w:val="2"/>
          <w:sz w:val="32"/>
          <w:szCs w:val="32"/>
        </w:rPr>
        <w:t>年</w:t>
      </w:r>
      <w:r>
        <w:rPr>
          <w:rFonts w:hint="eastAsia" w:ascii="仿宋" w:hAnsi="仿宋" w:eastAsia="仿宋" w:cs="仿宋"/>
          <w:spacing w:val="0"/>
          <w:kern w:val="2"/>
          <w:sz w:val="32"/>
          <w:szCs w:val="32"/>
          <w:lang w:val="en-US" w:eastAsia="zh-CN"/>
        </w:rPr>
        <w:t>1</w:t>
      </w:r>
      <w:r>
        <w:rPr>
          <w:rFonts w:hint="eastAsia" w:ascii="仿宋" w:hAnsi="仿宋" w:eastAsia="仿宋" w:cs="仿宋"/>
          <w:spacing w:val="0"/>
          <w:kern w:val="2"/>
          <w:sz w:val="32"/>
          <w:szCs w:val="32"/>
        </w:rPr>
        <w:t>月</w:t>
      </w:r>
      <w:r>
        <w:rPr>
          <w:rFonts w:hint="eastAsia" w:ascii="仿宋" w:hAnsi="仿宋" w:eastAsia="仿宋" w:cs="仿宋"/>
          <w:spacing w:val="0"/>
          <w:kern w:val="2"/>
          <w:sz w:val="32"/>
          <w:szCs w:val="32"/>
          <w:lang w:val="en-US" w:eastAsia="zh-CN"/>
        </w:rPr>
        <w:t>1</w:t>
      </w:r>
      <w:r>
        <w:rPr>
          <w:rFonts w:hint="eastAsia" w:ascii="仿宋" w:hAnsi="仿宋" w:eastAsia="仿宋" w:cs="仿宋"/>
          <w:spacing w:val="0"/>
          <w:kern w:val="2"/>
          <w:sz w:val="32"/>
          <w:szCs w:val="32"/>
        </w:rPr>
        <w:t>日起施行。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spacing w:val="0"/>
          <w:lang w:val="en-US" w:eastAsia="zh-CN"/>
        </w:rPr>
      </w:pPr>
    </w:p>
    <w:p>
      <w:pPr>
        <w:rPr>
          <w:rFonts w:hint="eastAsia"/>
          <w:lang w:val="en-US" w:eastAsia="zh-CN"/>
        </w:rPr>
      </w:pPr>
      <w:bookmarkStart w:id="0" w:name="_GoBack"/>
      <w:bookmarkEnd w:id="0"/>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60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Batang">
    <w:altName w:val="宋体"/>
    <w:panose1 w:val="02030600000101010101"/>
    <w:charset w:val="81"/>
    <w:family w:val="roman"/>
    <w:pitch w:val="default"/>
    <w:sig w:usb0="00000000" w:usb1="00000000" w:usb2="00000030" w:usb3="00000000" w:csb0="4008009F" w:csb1="DFD70000"/>
  </w:font>
  <w:font w:name="方正仿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4910455</wp:posOffset>
              </wp:positionH>
              <wp:positionV relativeFrom="paragraph">
                <wp:posOffset>0</wp:posOffset>
              </wp:positionV>
              <wp:extent cx="7061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6120" cy="1828800"/>
                      </a:xfrm>
                      <a:prstGeom prst="rect">
                        <a:avLst/>
                      </a:prstGeom>
                      <a:noFill/>
                      <a:ln>
                        <a:noFill/>
                      </a:ln>
                    </wps:spPr>
                    <wps:txbx>
                      <w:txbxContent>
                        <w:p>
                          <w:pPr>
                            <w:pStyle w:val="4"/>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386.65pt;margin-top:0pt;height:144pt;width:55.6pt;mso-position-horizontal-relative:margin;z-index:251659264;mso-width-relative:page;mso-height-relative:page;" filled="f" stroked="f" coordsize="21600,21600" o:gfxdata="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cJUFdYAAAAIAQAADwAAAAAA&#10;AAABACAAAAA4AAAAZHJzL2Rvd25yZXYueG1sUEsBAhQAFAAAAAgAh07iQHypVVXGAQAAjAMAAA4A&#10;AAAAAAAAAQAgAAAAOwEAAGRycy9lMm9Eb2MueG1sUEsFBgAAAAAGAAYAWQEAAHMFAAAAAA==&#10;">
              <v:fill on="f" focussize="0,0"/>
              <v:stroke on="f"/>
              <v:imagedata o:title=""/>
              <o:lock v:ext="edit" aspectratio="f"/>
              <v:textbox inset="0mm,0mm,0mm,0mm" style="mso-fit-shape-to-text:t;">
                <w:txbxContent>
                  <w:p>
                    <w:pPr>
                      <w:pStyle w:val="4"/>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4"/>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58"/>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ODhjMGIxODMzY2IyODg0NTc1NDE0YzVlMjNhNTQifQ=="/>
  </w:docVars>
  <w:rsids>
    <w:rsidRoot w:val="685721A6"/>
    <w:rsid w:val="0FC75D10"/>
    <w:rsid w:val="12501052"/>
    <w:rsid w:val="1B1C0C9F"/>
    <w:rsid w:val="248866F4"/>
    <w:rsid w:val="2ACC0C99"/>
    <w:rsid w:val="30617EB1"/>
    <w:rsid w:val="36305AB5"/>
    <w:rsid w:val="3E50726E"/>
    <w:rsid w:val="44956EF6"/>
    <w:rsid w:val="4F6A47C2"/>
    <w:rsid w:val="51BB11B3"/>
    <w:rsid w:val="540E1646"/>
    <w:rsid w:val="5AA31211"/>
    <w:rsid w:val="5CD6ADA9"/>
    <w:rsid w:val="5E7346CC"/>
    <w:rsid w:val="685721A6"/>
    <w:rsid w:val="699A04DC"/>
    <w:rsid w:val="6B4F44C8"/>
    <w:rsid w:val="71AF66FE"/>
    <w:rsid w:val="77FB3990"/>
    <w:rsid w:val="79B7581C"/>
    <w:rsid w:val="DB7FF967"/>
    <w:rsid w:val="DF996A46"/>
    <w:rsid w:val="EAF73EB0"/>
    <w:rsid w:val="EFA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footer"/>
    <w:basedOn w:val="1"/>
    <w:unhideWhenUsed/>
    <w:qFormat/>
    <w:uiPriority w:val="0"/>
    <w:pPr>
      <w:tabs>
        <w:tab w:val="center" w:pos="4153"/>
        <w:tab w:val="right" w:pos="8306"/>
      </w:tabs>
      <w:snapToGrid w:val="0"/>
      <w:jc w:val="left"/>
    </w:pPr>
    <w:rPr>
      <w:rFonts w:ascii="Calibri" w:hAnsi="Calibri" w:eastAsia="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6">
    <w:name w:val="Body Text First Indent 2"/>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 w:type="character" w:styleId="9">
    <w:name w:val="page number"/>
    <w:basedOn w:val="8"/>
    <w:qFormat/>
    <w:uiPriority w:val="0"/>
  </w:style>
  <w:style w:type="paragraph" w:customStyle="1" w:styleId="10">
    <w:name w:val="ParaAttribute0"/>
    <w:qFormat/>
    <w:uiPriority w:val="0"/>
    <w:pPr>
      <w:widowControl w:val="0"/>
    </w:pPr>
    <w:rPr>
      <w:rFonts w:ascii="Times New Roman" w:hAnsi="Times New Roman" w:eastAsia="Batang" w:cs="Times New Roman"/>
      <w:sz w:val="21"/>
      <w:szCs w:val="22"/>
      <w:lang w:val="en-US" w:eastAsia="zh-CN" w:bidi="ar-SA"/>
    </w:rPr>
  </w:style>
  <w:style w:type="character" w:customStyle="1" w:styleId="11">
    <w:name w:val="CharAttribute0"/>
    <w:qFormat/>
    <w:uiPriority w:val="0"/>
    <w:rPr>
      <w:rFonts w:hint="default" w:ascii="Times New Roman" w:hAnsi="Times New Roman" w:eastAsia="Times New Roman" w:cs="Times New Roman"/>
    </w:rPr>
  </w:style>
  <w:style w:type="paragraph" w:customStyle="1" w:styleId="12">
    <w:name w:val="Char"/>
    <w:basedOn w:val="1"/>
    <w:qFormat/>
    <w:uiPriority w:val="0"/>
    <w:pPr>
      <w:widowControl/>
      <w:spacing w:after="160" w:line="240" w:lineRule="exact"/>
      <w:jc w:val="left"/>
    </w:pPr>
    <w:rPr>
      <w:rFonts w:ascii="Calibri" w:hAnsi="Calibri" w:eastAsia="宋体" w:cs="Times New Roman"/>
      <w:sz w:val="21"/>
      <w:szCs w:val="24"/>
    </w:rPr>
  </w:style>
  <w:style w:type="paragraph" w:customStyle="1" w:styleId="1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8262</Words>
  <Characters>8291</Characters>
  <Lines>0</Lines>
  <Paragraphs>0</Paragraphs>
  <TotalTime>3</TotalTime>
  <ScaleCrop>false</ScaleCrop>
  <LinksUpToDate>false</LinksUpToDate>
  <CharactersWithSpaces>8488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2022-08-30T08:45:00Z</dcterms:created>
  <dc:creator>005</dc:creator>
  <cp:lastModifiedBy>ptxc</cp:lastModifiedBy>
  <dcterms:modified xsi:type="dcterms:W3CDTF">2024-12-06T14:41:51Z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FB2D7D36152A47699D7DC4A2D9C003EB</vt:lpwstr>
  </property>
</Properties>
</file>